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A23A" w14:textId="77777777" w:rsidR="00475502" w:rsidRPr="00224AA8" w:rsidRDefault="00475502" w:rsidP="00475502">
      <w:pPr>
        <w:pStyle w:val="Heading3"/>
      </w:pPr>
      <w:r w:rsidRPr="00224AA8">
        <w:t>Strategic objective one</w:t>
      </w:r>
    </w:p>
    <w:p w14:paraId="1E1A5ED8" w14:textId="77777777" w:rsidR="00475502" w:rsidRPr="00224AA8" w:rsidRDefault="00475502" w:rsidP="00475502">
      <w:r w:rsidRPr="00224AA8">
        <w:t>Support the restoration of socially responsible standards of behaviour and local authority in welfare reform communities.</w:t>
      </w:r>
    </w:p>
    <w:p w14:paraId="74B53ACA" w14:textId="77777777" w:rsidR="00475502" w:rsidRPr="00224AA8" w:rsidRDefault="00475502" w:rsidP="00475502"/>
    <w:p w14:paraId="679D4BAB" w14:textId="77777777" w:rsidR="00475502" w:rsidRPr="00224AA8" w:rsidRDefault="00475502" w:rsidP="00475502">
      <w:pPr>
        <w:pStyle w:val="Heading5"/>
      </w:pPr>
      <w:r w:rsidRPr="00224AA8">
        <w:t>Our achievements</w:t>
      </w:r>
    </w:p>
    <w:p w14:paraId="186CDBBB" w14:textId="77777777" w:rsidR="00475502" w:rsidRPr="00224AA8" w:rsidRDefault="00475502" w:rsidP="00475502">
      <w:r w:rsidRPr="00224AA8">
        <w:t>This objective is achieved through the following strategies:</w:t>
      </w:r>
    </w:p>
    <w:p w14:paraId="23364B09" w14:textId="77777777" w:rsidR="00475502" w:rsidRPr="00224AA8" w:rsidRDefault="00475502" w:rsidP="00475502"/>
    <w:tbl>
      <w:tblPr>
        <w:tblStyle w:val="TableGrid"/>
        <w:tblW w:w="0" w:type="auto"/>
        <w:tblBorders>
          <w:left w:val="none" w:sz="0" w:space="0" w:color="auto"/>
          <w:right w:val="none" w:sz="0" w:space="0" w:color="auto"/>
        </w:tblBorders>
        <w:tblLook w:val="04A0" w:firstRow="1" w:lastRow="0" w:firstColumn="1" w:lastColumn="0" w:noHBand="0" w:noVBand="1"/>
      </w:tblPr>
      <w:tblGrid>
        <w:gridCol w:w="8494"/>
      </w:tblGrid>
      <w:tr w:rsidR="00475502" w:rsidRPr="00224AA8" w14:paraId="555E6FA5" w14:textId="77777777" w:rsidTr="00754DA1">
        <w:tc>
          <w:tcPr>
            <w:tcW w:w="8494" w:type="dxa"/>
          </w:tcPr>
          <w:p w14:paraId="74E95149" w14:textId="77777777" w:rsidR="00475502" w:rsidRPr="00224AA8" w:rsidRDefault="00475502" w:rsidP="00475502">
            <w:pPr>
              <w:pStyle w:val="ListParagraph"/>
              <w:numPr>
                <w:ilvl w:val="0"/>
                <w:numId w:val="11"/>
              </w:numPr>
              <w:spacing w:after="120" w:line="260" w:lineRule="exact"/>
              <w:ind w:left="714" w:hanging="357"/>
            </w:pPr>
            <w:r w:rsidRPr="00224AA8">
              <w:t>Continue to implement proactive and agile responses to changing community needs that reflect all functions of the FRC Act.</w:t>
            </w:r>
          </w:p>
          <w:p w14:paraId="35E0667D" w14:textId="77777777" w:rsidR="00475502" w:rsidRPr="00224AA8" w:rsidRDefault="00475502" w:rsidP="00475502">
            <w:pPr>
              <w:pStyle w:val="ListParagraph"/>
              <w:numPr>
                <w:ilvl w:val="0"/>
                <w:numId w:val="11"/>
              </w:numPr>
              <w:spacing w:after="120" w:line="260" w:lineRule="exact"/>
              <w:ind w:left="714" w:hanging="357"/>
            </w:pPr>
            <w:r w:rsidRPr="00224AA8">
              <w:t>Support Local Commissioners and FRC staff to have meaningful and effective engagement with FRC communities.</w:t>
            </w:r>
          </w:p>
          <w:p w14:paraId="7CC8A4BF" w14:textId="77777777" w:rsidR="00475502" w:rsidRPr="00224AA8" w:rsidRDefault="00475502" w:rsidP="00475502">
            <w:pPr>
              <w:pStyle w:val="ListParagraph"/>
              <w:numPr>
                <w:ilvl w:val="0"/>
                <w:numId w:val="11"/>
              </w:numPr>
              <w:spacing w:after="120" w:line="260" w:lineRule="exact"/>
              <w:ind w:left="714" w:hanging="357"/>
            </w:pPr>
            <w:r w:rsidRPr="00224AA8">
              <w:t>Strengthen self-determination by investing in individual leadership and decision-making capability development for Local Commissioners.</w:t>
            </w:r>
          </w:p>
          <w:p w14:paraId="38651D56" w14:textId="77777777" w:rsidR="00475502" w:rsidRPr="00224AA8" w:rsidRDefault="00475502" w:rsidP="00475502">
            <w:pPr>
              <w:pStyle w:val="ListParagraph"/>
              <w:numPr>
                <w:ilvl w:val="0"/>
                <w:numId w:val="11"/>
              </w:numPr>
              <w:spacing w:after="120" w:line="260" w:lineRule="exact"/>
              <w:ind w:left="714" w:hanging="357"/>
            </w:pPr>
            <w:r w:rsidRPr="00224AA8">
              <w:t>Support Local Commissioners to advocate for their communities.</w:t>
            </w:r>
          </w:p>
          <w:p w14:paraId="1A234017" w14:textId="77777777" w:rsidR="00475502" w:rsidRPr="00224AA8" w:rsidRDefault="00475502" w:rsidP="00475502">
            <w:pPr>
              <w:pStyle w:val="ListParagraph"/>
              <w:numPr>
                <w:ilvl w:val="0"/>
                <w:numId w:val="11"/>
              </w:numPr>
              <w:spacing w:after="120" w:line="260" w:lineRule="exact"/>
              <w:ind w:left="714" w:hanging="357"/>
            </w:pPr>
            <w:r w:rsidRPr="00224AA8">
              <w:t>Support partner agencies to provide information in a timely way within the FRC Act framework.</w:t>
            </w:r>
          </w:p>
        </w:tc>
      </w:tr>
    </w:tbl>
    <w:p w14:paraId="22EDFD1C" w14:textId="77777777" w:rsidR="00475502" w:rsidRPr="00224AA8" w:rsidRDefault="00475502" w:rsidP="00475502"/>
    <w:p w14:paraId="1F13F1CB" w14:textId="77777777" w:rsidR="00475502" w:rsidRPr="00224AA8" w:rsidRDefault="00475502" w:rsidP="00475502">
      <w:pPr>
        <w:pStyle w:val="Heading5"/>
      </w:pPr>
      <w:r w:rsidRPr="00224AA8">
        <w:t>Performance Indicator 1: Retention and development of Local Commissioners</w:t>
      </w:r>
    </w:p>
    <w:p w14:paraId="5B2FAB52" w14:textId="77777777" w:rsidR="00475502" w:rsidRPr="00224AA8" w:rsidRDefault="00475502" w:rsidP="00475502">
      <w:pPr>
        <w:pStyle w:val="Heading6"/>
      </w:pPr>
      <w:r w:rsidRPr="00224AA8">
        <w:t>Local Commissioner training in community</w:t>
      </w:r>
    </w:p>
    <w:p w14:paraId="19BC2D10" w14:textId="77777777" w:rsidR="00082216" w:rsidRPr="00224AA8" w:rsidRDefault="00082216" w:rsidP="00082216">
      <w:r>
        <w:t>With the reinstatement of the Youth Justice Childrens Court trigger notice, training was delivered to the Local Commissioners within their respective communities, by the Deputy Commissioner and the Manager, Compliance and Legal Policy, between September 2024 and June 2025. The training addressed the amendment to the FRC Act that operationalised the Childrens Court trigger notice, along with its impact on Local Commissioners and the resulting process changes in client conferencing and CE activities. More Local Commissioner training information can be found in the Governance section of this report.</w:t>
      </w:r>
    </w:p>
    <w:p w14:paraId="10A2E3F1" w14:textId="77777777" w:rsidR="00475502" w:rsidRPr="00224AA8" w:rsidRDefault="00475502" w:rsidP="00475502"/>
    <w:p w14:paraId="540F5E48" w14:textId="77777777" w:rsidR="00475502" w:rsidRPr="00224AA8" w:rsidRDefault="00475502" w:rsidP="00475502">
      <w:pPr>
        <w:pStyle w:val="Heading5"/>
      </w:pPr>
      <w:r w:rsidRPr="00224AA8">
        <w:t>Performance Indicator 2: Proportion of conferences held with Local Commissioners sitting independently</w:t>
      </w:r>
    </w:p>
    <w:p w14:paraId="4E8870CB" w14:textId="77777777" w:rsidR="00082216" w:rsidRPr="00224AA8" w:rsidRDefault="00082216" w:rsidP="00082216">
      <w:r w:rsidRPr="00224AA8">
        <w:t>In 202</w:t>
      </w:r>
      <w:r>
        <w:t>4</w:t>
      </w:r>
      <w:r w:rsidRPr="00224AA8">
        <w:t>-2</w:t>
      </w:r>
      <w:r>
        <w:t>5</w:t>
      </w:r>
      <w:r w:rsidRPr="00224AA8">
        <w:t>, 8</w:t>
      </w:r>
      <w:r>
        <w:t>4</w:t>
      </w:r>
      <w:r w:rsidRPr="00224AA8">
        <w:t>% of Commission decisions at conference were made by three Local Commissioners sitting alone to constitute the panel.</w:t>
      </w:r>
    </w:p>
    <w:p w14:paraId="6DEB1EE5" w14:textId="398F5862" w:rsidR="00475502" w:rsidRPr="00224AA8" w:rsidRDefault="00475502" w:rsidP="00475502">
      <w:r w:rsidRPr="00224AA8">
        <w:t xml:space="preserve">Further details about Local Commissioner decision-making can be found on </w:t>
      </w:r>
      <w:r w:rsidRPr="00F431BA">
        <w:t>pages 3</w:t>
      </w:r>
      <w:r w:rsidR="009C4B74" w:rsidRPr="00F431BA">
        <w:t>1</w:t>
      </w:r>
      <w:r w:rsidRPr="00F431BA">
        <w:t xml:space="preserve"> to 3</w:t>
      </w:r>
      <w:r w:rsidR="009C4B74" w:rsidRPr="00F431BA">
        <w:t>5</w:t>
      </w:r>
      <w:r w:rsidRPr="00F431BA">
        <w:t>.</w:t>
      </w:r>
    </w:p>
    <w:p w14:paraId="700D281B" w14:textId="77777777" w:rsidR="00475502" w:rsidRPr="00224AA8" w:rsidRDefault="00475502" w:rsidP="00475502"/>
    <w:p w14:paraId="43C889D2" w14:textId="77777777" w:rsidR="00475502" w:rsidRPr="00224AA8" w:rsidRDefault="00475502" w:rsidP="00475502">
      <w:pPr>
        <w:pStyle w:val="Heading5"/>
      </w:pPr>
      <w:r w:rsidRPr="00224AA8">
        <w:t>Performance Indicator 3: Rates of client participation in the decision-making process</w:t>
      </w:r>
    </w:p>
    <w:p w14:paraId="16696FF4" w14:textId="77777777" w:rsidR="00082216" w:rsidRPr="00224AA8" w:rsidRDefault="00082216" w:rsidP="00082216">
      <w:r w:rsidRPr="00224AA8">
        <w:t>The FRC continues to report high levels of client participation and personal agency in the Commission’s processes. In 202</w:t>
      </w:r>
      <w:r>
        <w:t>4</w:t>
      </w:r>
      <w:r w:rsidRPr="00224AA8">
        <w:t>-2</w:t>
      </w:r>
      <w:r>
        <w:t>5</w:t>
      </w:r>
      <w:r w:rsidRPr="00224AA8">
        <w:t xml:space="preserve">, </w:t>
      </w:r>
      <w:r>
        <w:t>88</w:t>
      </w:r>
      <w:r w:rsidRPr="00224AA8">
        <w:t>% of clients who were served a notice to attend a conference participated in the FRC’s decision-making process by attending at least once, with an overall conference attendance rate of 6</w:t>
      </w:r>
      <w:r>
        <w:t>6.5</w:t>
      </w:r>
      <w:r w:rsidRPr="00224AA8">
        <w:t>% in 202</w:t>
      </w:r>
      <w:r>
        <w:t>4</w:t>
      </w:r>
      <w:r w:rsidRPr="00224AA8">
        <w:t>-2</w:t>
      </w:r>
      <w:r>
        <w:t>5</w:t>
      </w:r>
      <w:r w:rsidRPr="00224AA8">
        <w:t>.</w:t>
      </w:r>
    </w:p>
    <w:p w14:paraId="7A36D7C2" w14:textId="77777777" w:rsidR="00082216" w:rsidRPr="00224AA8" w:rsidRDefault="00082216" w:rsidP="00082216">
      <w:r w:rsidRPr="00224AA8">
        <w:lastRenderedPageBreak/>
        <w:t xml:space="preserve">During the reporting period, of the total number of decisions at conference to attend a case plan, </w:t>
      </w:r>
      <w:r>
        <w:t>65</w:t>
      </w:r>
      <w:r w:rsidRPr="00224AA8">
        <w:t>% were made by agreement with the client to attend the support service/s.</w:t>
      </w:r>
    </w:p>
    <w:p w14:paraId="387FB7AE" w14:textId="008002FC" w:rsidR="00082216" w:rsidRPr="00224AA8" w:rsidRDefault="00082216" w:rsidP="00082216">
      <w:r w:rsidRPr="00224AA8">
        <w:t>In 202</w:t>
      </w:r>
      <w:r>
        <w:t>4</w:t>
      </w:r>
      <w:r w:rsidRPr="00224AA8">
        <w:t>-2</w:t>
      </w:r>
      <w:r>
        <w:t>5</w:t>
      </w:r>
      <w:r w:rsidRPr="00224AA8">
        <w:t xml:space="preserve">, of all voluntary agreements and </w:t>
      </w:r>
      <w:r w:rsidRPr="00723439">
        <w:t>final decisions at conference</w:t>
      </w:r>
      <w:r w:rsidRPr="00723439">
        <w:rPr>
          <w:rStyle w:val="FootnoteReference"/>
        </w:rPr>
        <w:footnoteReference w:id="1"/>
      </w:r>
      <w:r w:rsidRPr="00723439">
        <w:t xml:space="preserve"> 58% were</w:t>
      </w:r>
      <w:r w:rsidRPr="00224AA8">
        <w:t xml:space="preserve"> made with some form of agreement with the client. This highlights clients’ willingness to take personal responsibility for their wellbeing and the wellbeing of their families. More information about client participation in FRC’s decision-making processes commences at </w:t>
      </w:r>
      <w:r w:rsidRPr="00F431BA">
        <w:t>page 3</w:t>
      </w:r>
      <w:r w:rsidR="00DB6202" w:rsidRPr="00F431BA">
        <w:t>5</w:t>
      </w:r>
      <w:r w:rsidRPr="00F431BA">
        <w:t>.</w:t>
      </w:r>
    </w:p>
    <w:p w14:paraId="7261FFE8" w14:textId="77777777" w:rsidR="00475502" w:rsidRPr="00224AA8" w:rsidRDefault="00475502" w:rsidP="00475502"/>
    <w:p w14:paraId="34A34FA8" w14:textId="77777777" w:rsidR="00475502" w:rsidRPr="00224AA8" w:rsidRDefault="00475502" w:rsidP="00475502">
      <w:pPr>
        <w:pStyle w:val="Heading5"/>
      </w:pPr>
      <w:r w:rsidRPr="00224AA8">
        <w:t xml:space="preserve">Performance Indicator 4: Judicious use of Conditional </w:t>
      </w:r>
      <w:r>
        <w:t>I</w:t>
      </w:r>
      <w:r w:rsidRPr="00224AA8">
        <w:t xml:space="preserve">ncome </w:t>
      </w:r>
      <w:r>
        <w:t>M</w:t>
      </w:r>
      <w:r w:rsidRPr="00224AA8">
        <w:t>anagement (CIM)</w:t>
      </w:r>
    </w:p>
    <w:p w14:paraId="4DA4FB02" w14:textId="77777777" w:rsidR="00A455A2" w:rsidRPr="00224AA8" w:rsidRDefault="00A455A2" w:rsidP="00A455A2">
      <w:r w:rsidRPr="00224AA8">
        <w:t>In 202</w:t>
      </w:r>
      <w:r>
        <w:t>4</w:t>
      </w:r>
      <w:r w:rsidRPr="00224AA8">
        <w:t>-2</w:t>
      </w:r>
      <w:r>
        <w:t>5</w:t>
      </w:r>
      <w:r w:rsidRPr="00224AA8">
        <w:t xml:space="preserve"> there were a total of </w:t>
      </w:r>
      <w:r>
        <w:t>36</w:t>
      </w:r>
      <w:r w:rsidRPr="00224AA8">
        <w:t xml:space="preserve"> CIMs relating to </w:t>
      </w:r>
      <w:r>
        <w:t>33</w:t>
      </w:r>
      <w:r w:rsidRPr="00224AA8">
        <w:t xml:space="preserve"> clients. As at 30 June 202</w:t>
      </w:r>
      <w:r>
        <w:t>5</w:t>
      </w:r>
      <w:r w:rsidRPr="00224AA8">
        <w:t xml:space="preserve"> there were </w:t>
      </w:r>
      <w:r>
        <w:t>9</w:t>
      </w:r>
      <w:r w:rsidRPr="00224AA8">
        <w:t xml:space="preserve"> FRC clients subject to a CIM, claiming Centrelink payments for </w:t>
      </w:r>
      <w:r>
        <w:t>20</w:t>
      </w:r>
      <w:r w:rsidRPr="00224AA8">
        <w:t xml:space="preserve"> children, of which 1</w:t>
      </w:r>
      <w:r>
        <w:t>2</w:t>
      </w:r>
      <w:r w:rsidRPr="00224AA8">
        <w:t xml:space="preserve"> were of school age.</w:t>
      </w:r>
    </w:p>
    <w:p w14:paraId="4D3E6D51" w14:textId="77777777" w:rsidR="00A455A2" w:rsidRPr="00224AA8" w:rsidRDefault="00A455A2" w:rsidP="00A455A2">
      <w:r w:rsidRPr="00224AA8">
        <w:t>The FRC uses CIM in a very limited and nuanced way. In the 202</w:t>
      </w:r>
      <w:r>
        <w:t>4</w:t>
      </w:r>
      <w:r w:rsidRPr="00224AA8">
        <w:t>-2</w:t>
      </w:r>
      <w:r>
        <w:t>5</w:t>
      </w:r>
      <w:r w:rsidRPr="00224AA8">
        <w:t xml:space="preserve"> financial year only </w:t>
      </w:r>
      <w:r>
        <w:t>8.1</w:t>
      </w:r>
      <w:r w:rsidRPr="00224AA8">
        <w:t>% of finalised conferenced clients were placed on a CIM.</w:t>
      </w:r>
    </w:p>
    <w:p w14:paraId="6EF4A459" w14:textId="77777777" w:rsidR="00A455A2" w:rsidRPr="00224AA8" w:rsidRDefault="00A455A2" w:rsidP="00A455A2">
      <w:r w:rsidRPr="00224AA8">
        <w:t>This demonstrates the FRC’s continued use of CIM is proportionate to the client’s circumstances and that CIM is used to encourage personal responsibility, with terms and percentages of CIM orders and agreements adjusted according to the client’s progress and circumstances. During the 202</w:t>
      </w:r>
      <w:r>
        <w:t>4</w:t>
      </w:r>
      <w:r w:rsidRPr="00224AA8">
        <w:t>-2</w:t>
      </w:r>
      <w:r>
        <w:t>5</w:t>
      </w:r>
      <w:r w:rsidRPr="00224AA8">
        <w:t xml:space="preserve"> reporting period </w:t>
      </w:r>
      <w:r>
        <w:t>53</w:t>
      </w:r>
      <w:r w:rsidRPr="00224AA8">
        <w:t xml:space="preserve">% of CIM orders and agreements quarantined 60 percent of a client’s welfare payment, </w:t>
      </w:r>
      <w:r>
        <w:t>36</w:t>
      </w:r>
      <w:r w:rsidRPr="00224AA8">
        <w:t xml:space="preserve">% quarantined 75 percent and </w:t>
      </w:r>
      <w:r>
        <w:t>11</w:t>
      </w:r>
      <w:r w:rsidRPr="00224AA8">
        <w:t xml:space="preserve">% quarantined 90 percent. During the same period </w:t>
      </w:r>
      <w:r>
        <w:t>64</w:t>
      </w:r>
      <w:r w:rsidRPr="00224AA8">
        <w:t xml:space="preserve">% were for a period of 6 months, </w:t>
      </w:r>
      <w:r>
        <w:t>30</w:t>
      </w:r>
      <w:r w:rsidRPr="00224AA8">
        <w:t>% for a duration of 3 months</w:t>
      </w:r>
      <w:r>
        <w:t xml:space="preserve"> and 3% for 9 months and 12 months duration</w:t>
      </w:r>
      <w:r w:rsidRPr="00224AA8">
        <w:t>.</w:t>
      </w:r>
    </w:p>
    <w:p w14:paraId="6D5F77DE" w14:textId="047B2D39" w:rsidR="00475502" w:rsidRPr="00224AA8" w:rsidRDefault="00475502" w:rsidP="00475502">
      <w:r w:rsidRPr="00224AA8">
        <w:t xml:space="preserve">More information about income management is set out in the FRC registry and decision-making functions section of this report. Further analysis of income management data can also be found in the </w:t>
      </w:r>
      <w:r>
        <w:t>N</w:t>
      </w:r>
      <w:r w:rsidRPr="00224AA8">
        <w:t xml:space="preserve">on-financial performance outcomes section commencing at </w:t>
      </w:r>
      <w:r w:rsidRPr="00F431BA">
        <w:t xml:space="preserve">page </w:t>
      </w:r>
      <w:r w:rsidR="00BD6947" w:rsidRPr="00F431BA">
        <w:t>5</w:t>
      </w:r>
      <w:r w:rsidR="001C3848" w:rsidRPr="00F431BA">
        <w:t>0</w:t>
      </w:r>
      <w:r w:rsidRPr="00F431BA">
        <w:t>.</w:t>
      </w:r>
    </w:p>
    <w:p w14:paraId="02866DDF" w14:textId="77777777" w:rsidR="00475502" w:rsidRPr="00224AA8" w:rsidRDefault="00475502" w:rsidP="00475502"/>
    <w:p w14:paraId="7A31BEFA" w14:textId="77777777" w:rsidR="00475502" w:rsidRPr="00224AA8" w:rsidRDefault="00475502" w:rsidP="00475502">
      <w:pPr>
        <w:pStyle w:val="Heading5"/>
      </w:pPr>
      <w:r w:rsidRPr="00224AA8">
        <w:t>Performance Indicator 5: Number of successful appeals against FRC decisions</w:t>
      </w:r>
    </w:p>
    <w:p w14:paraId="61787B26" w14:textId="77777777" w:rsidR="00475502" w:rsidRPr="00224AA8" w:rsidRDefault="00475502" w:rsidP="00475502">
      <w:r w:rsidRPr="00224AA8">
        <w:t>There have not been any appeals against any FRC decisions during the reporting year.</w:t>
      </w:r>
    </w:p>
    <w:p w14:paraId="66195B29" w14:textId="77777777" w:rsidR="00475502" w:rsidRPr="00224AA8" w:rsidRDefault="00475502" w:rsidP="00475502"/>
    <w:p w14:paraId="75CB257C" w14:textId="77777777" w:rsidR="00475502" w:rsidRPr="00224AA8" w:rsidRDefault="00475502" w:rsidP="00475502">
      <w:pPr>
        <w:pStyle w:val="Heading5"/>
      </w:pPr>
      <w:r w:rsidRPr="00224AA8">
        <w:t>Performance Indicator 6: Helping to Close the Gap on disadvantage for our clients in Aurukun, Coen, Doomadgee, Hope Vale and Mossman Gorge</w:t>
      </w:r>
    </w:p>
    <w:p w14:paraId="0D69EDFA" w14:textId="77777777" w:rsidR="00475502" w:rsidRPr="00224AA8" w:rsidRDefault="00475502" w:rsidP="00475502">
      <w:r w:rsidRPr="00224AA8">
        <w:t>The Commission continues to develop an appropriate assessment tool to best measure our contribution to Closing the Gap targets across the 4-year term of the Strategic Plan. The FRC hopes to report against this performance indicator in the future.</w:t>
      </w:r>
    </w:p>
    <w:p w14:paraId="33DB40E6" w14:textId="77777777" w:rsidR="00475502" w:rsidRPr="00224AA8" w:rsidRDefault="00475502" w:rsidP="00475502"/>
    <w:p w14:paraId="7D55906B" w14:textId="77777777" w:rsidR="00475502" w:rsidRPr="00224AA8" w:rsidRDefault="00475502" w:rsidP="00475502"/>
    <w:p w14:paraId="5692430B" w14:textId="77777777" w:rsidR="00475502" w:rsidRPr="00C34024" w:rsidRDefault="00475502" w:rsidP="00475502">
      <w:r w:rsidRPr="00C34024">
        <w:br w:type="page"/>
      </w:r>
    </w:p>
    <w:p w14:paraId="4422E5AC" w14:textId="77777777" w:rsidR="00475502" w:rsidRPr="00224AA8" w:rsidRDefault="00475502" w:rsidP="00475502">
      <w:pPr>
        <w:pStyle w:val="Heading3"/>
      </w:pPr>
      <w:r w:rsidRPr="00224AA8">
        <w:lastRenderedPageBreak/>
        <w:t>Strategic objective two</w:t>
      </w:r>
    </w:p>
    <w:p w14:paraId="09D1C7D0" w14:textId="77777777" w:rsidR="00475502" w:rsidRPr="00224AA8" w:rsidRDefault="00475502" w:rsidP="00475502">
      <w:r w:rsidRPr="00224AA8">
        <w:t>Help people in welfare reform communities to resume primary responsibility for the wellbeing of their communities and the individuals and families of their communities.</w:t>
      </w:r>
    </w:p>
    <w:p w14:paraId="4FEB1F3F" w14:textId="77777777" w:rsidR="00475502" w:rsidRPr="00224AA8" w:rsidRDefault="00475502" w:rsidP="00475502"/>
    <w:p w14:paraId="0A1AA5EE" w14:textId="77777777" w:rsidR="00475502" w:rsidRPr="00224AA8" w:rsidRDefault="00475502" w:rsidP="00475502">
      <w:pPr>
        <w:pStyle w:val="Heading5"/>
      </w:pPr>
      <w:r w:rsidRPr="00224AA8">
        <w:t>Our achievements</w:t>
      </w:r>
    </w:p>
    <w:p w14:paraId="3B5C6078" w14:textId="77777777" w:rsidR="00475502" w:rsidRPr="00224AA8" w:rsidRDefault="00475502" w:rsidP="00475502">
      <w:r w:rsidRPr="00224AA8">
        <w:t>This objective is achieved through the following strategies:</w:t>
      </w:r>
    </w:p>
    <w:p w14:paraId="61EDC098" w14:textId="77777777" w:rsidR="00475502" w:rsidRPr="00224AA8" w:rsidRDefault="00475502" w:rsidP="00475502"/>
    <w:tbl>
      <w:tblPr>
        <w:tblStyle w:val="TableGrid"/>
        <w:tblW w:w="0" w:type="auto"/>
        <w:tblBorders>
          <w:left w:val="none" w:sz="0" w:space="0" w:color="auto"/>
          <w:right w:val="none" w:sz="0" w:space="0" w:color="auto"/>
        </w:tblBorders>
        <w:tblLook w:val="04A0" w:firstRow="1" w:lastRow="0" w:firstColumn="1" w:lastColumn="0" w:noHBand="0" w:noVBand="1"/>
      </w:tblPr>
      <w:tblGrid>
        <w:gridCol w:w="8494"/>
      </w:tblGrid>
      <w:tr w:rsidR="00475502" w:rsidRPr="00224AA8" w14:paraId="7C9AF4FE" w14:textId="77777777" w:rsidTr="00754DA1">
        <w:tc>
          <w:tcPr>
            <w:tcW w:w="8494" w:type="dxa"/>
          </w:tcPr>
          <w:p w14:paraId="790281B9" w14:textId="77777777" w:rsidR="00475502" w:rsidRPr="00224AA8" w:rsidRDefault="00475502" w:rsidP="00475502">
            <w:pPr>
              <w:pStyle w:val="ListParagraph"/>
              <w:numPr>
                <w:ilvl w:val="0"/>
                <w:numId w:val="12"/>
              </w:numPr>
              <w:spacing w:after="120" w:line="260" w:lineRule="exact"/>
              <w:ind w:left="714" w:hanging="357"/>
            </w:pPr>
            <w:r w:rsidRPr="00224AA8">
              <w:t>Support individuals and families to change through effective client engagement, conferencing, case plan referrals and income management.</w:t>
            </w:r>
          </w:p>
          <w:p w14:paraId="703795BB" w14:textId="77777777" w:rsidR="00475502" w:rsidRPr="00224AA8" w:rsidRDefault="00475502" w:rsidP="00475502">
            <w:pPr>
              <w:pStyle w:val="ListParagraph"/>
              <w:numPr>
                <w:ilvl w:val="0"/>
                <w:numId w:val="12"/>
              </w:numPr>
              <w:spacing w:after="120" w:line="260" w:lineRule="exact"/>
              <w:ind w:left="714" w:hanging="357"/>
            </w:pPr>
            <w:r w:rsidRPr="00224AA8">
              <w:t>Protect children and other vulnerable people including through compulsion and income management where necessary.</w:t>
            </w:r>
          </w:p>
          <w:p w14:paraId="1F782D22" w14:textId="77777777" w:rsidR="00475502" w:rsidRPr="00224AA8" w:rsidRDefault="00475502" w:rsidP="00475502">
            <w:pPr>
              <w:pStyle w:val="ListParagraph"/>
              <w:numPr>
                <w:ilvl w:val="0"/>
                <w:numId w:val="12"/>
              </w:numPr>
              <w:spacing w:after="120" w:line="260" w:lineRule="exact"/>
              <w:ind w:left="714" w:hanging="357"/>
            </w:pPr>
            <w:r w:rsidRPr="00224AA8">
              <w:t>Continue to explore incentive projects to increase families’ capabilities and move towards pursuing opportunities.</w:t>
            </w:r>
          </w:p>
          <w:p w14:paraId="6068311D" w14:textId="77777777" w:rsidR="00475502" w:rsidRPr="00224AA8" w:rsidRDefault="00475502" w:rsidP="00475502">
            <w:pPr>
              <w:pStyle w:val="ListParagraph"/>
              <w:numPr>
                <w:ilvl w:val="0"/>
                <w:numId w:val="12"/>
              </w:numPr>
              <w:spacing w:after="120" w:line="260" w:lineRule="exact"/>
              <w:ind w:left="714" w:hanging="357"/>
            </w:pPr>
            <w:r w:rsidRPr="00224AA8">
              <w:t>Engage families in recognising the importance of, and playing an active role in neonatal and early childhood development.</w:t>
            </w:r>
          </w:p>
          <w:p w14:paraId="1831157B" w14:textId="77777777" w:rsidR="00475502" w:rsidRPr="00224AA8" w:rsidRDefault="00475502" w:rsidP="00475502">
            <w:pPr>
              <w:pStyle w:val="ListParagraph"/>
              <w:numPr>
                <w:ilvl w:val="0"/>
                <w:numId w:val="12"/>
              </w:numPr>
              <w:spacing w:after="120" w:line="260" w:lineRule="exact"/>
              <w:ind w:left="714" w:hanging="357"/>
            </w:pPr>
            <w:r w:rsidRPr="00224AA8">
              <w:t>Support evidence-based interventions for disengaged young people and employability skills training.</w:t>
            </w:r>
          </w:p>
          <w:p w14:paraId="2E11D166" w14:textId="77777777" w:rsidR="00475502" w:rsidRPr="00224AA8" w:rsidRDefault="00475502" w:rsidP="00475502">
            <w:pPr>
              <w:pStyle w:val="ListParagraph"/>
              <w:numPr>
                <w:ilvl w:val="0"/>
                <w:numId w:val="12"/>
              </w:numPr>
              <w:spacing w:after="120" w:line="260" w:lineRule="exact"/>
              <w:ind w:left="714" w:hanging="357"/>
            </w:pPr>
            <w:r w:rsidRPr="00224AA8">
              <w:t>Build mutual accountability and foster shared high expectations of service providers and community members.</w:t>
            </w:r>
          </w:p>
        </w:tc>
      </w:tr>
    </w:tbl>
    <w:p w14:paraId="5FB5A44A" w14:textId="77777777" w:rsidR="00475502" w:rsidRPr="00224AA8" w:rsidRDefault="00475502" w:rsidP="00475502"/>
    <w:p w14:paraId="566C9A00" w14:textId="77777777" w:rsidR="00475502" w:rsidRPr="00224AA8" w:rsidRDefault="00475502" w:rsidP="00475502">
      <w:pPr>
        <w:pStyle w:val="Heading5"/>
      </w:pPr>
      <w:r w:rsidRPr="00224AA8">
        <w:t>Performance Indicator 1: Increased motivation of clients to change through personal responsibility</w:t>
      </w:r>
    </w:p>
    <w:p w14:paraId="19286F27" w14:textId="77777777" w:rsidR="00977732" w:rsidRPr="00224AA8" w:rsidRDefault="00977732" w:rsidP="00977732">
      <w:pPr>
        <w:rPr>
          <w:rFonts w:cs="Arial"/>
          <w:szCs w:val="20"/>
        </w:rPr>
      </w:pPr>
      <w:r w:rsidRPr="00224AA8">
        <w:t>The types of client interactions evident during 202</w:t>
      </w:r>
      <w:r>
        <w:t>4</w:t>
      </w:r>
      <w:r w:rsidRPr="00224AA8">
        <w:t>-2</w:t>
      </w:r>
      <w:r>
        <w:t>5</w:t>
      </w:r>
      <w:r w:rsidRPr="00224AA8">
        <w:t xml:space="preserve"> reinforce the Commission's belief that our clients are displaying a </w:t>
      </w:r>
      <w:r w:rsidRPr="00EC64EE">
        <w:t xml:space="preserve">willingness to change and take personal responsibility for their wellbeing and the wellbeing of their families. Over the course of the financial year </w:t>
      </w:r>
      <w:r w:rsidRPr="00EC64EE">
        <w:rPr>
          <w:rFonts w:cs="Arial"/>
          <w:szCs w:val="20"/>
        </w:rPr>
        <w:t>64.8% of clients have at some point done one or more of the following: self-referred to the FRC for a VCP or a VIM; entered into a Family Responsibilities Agreement (FRA); successfully applied to end or amend their decision by order or agreement. As a subset of this, 42% of clients specifically entered into a voluntary agreement.</w:t>
      </w:r>
    </w:p>
    <w:p w14:paraId="3F3CD893" w14:textId="77777777" w:rsidR="00977732" w:rsidRPr="008B1C8F" w:rsidRDefault="00977732" w:rsidP="00977732">
      <w:pPr>
        <w:rPr>
          <w:highlight w:val="yellow"/>
        </w:rPr>
      </w:pPr>
      <w:r w:rsidRPr="00224AA8">
        <w:t>Since the introduction of the Cashless Debit Card</w:t>
      </w:r>
      <w:r>
        <w:t xml:space="preserve"> (CDC)</w:t>
      </w:r>
      <w:r w:rsidRPr="00224AA8">
        <w:t xml:space="preserve"> on 17 March 2021 and the subsequent transition to the enhanced Income Management SmartCard on 6 March 2023, the Commission has </w:t>
      </w:r>
      <w:r w:rsidRPr="00A13B29">
        <w:t>seen that having a prior CIM order or agreement is not an impediment to a client requesting to enter into a subsequent voluntary agreement for VIM. In fact, evidence is suggestive of the contrary – that CIM can be a pathway to clients later voluntarily seeking a period of income management. From 17 March 2021 to 30 June 2025 more than half (54%) of VIM clients have had a prior CIM.</w:t>
      </w:r>
    </w:p>
    <w:p w14:paraId="1C4D5C17" w14:textId="77777777" w:rsidR="00977732" w:rsidRPr="007C7331" w:rsidRDefault="00977732" w:rsidP="00977732">
      <w:r w:rsidRPr="007C7331">
        <w:t>A similar trend can be seen regarding clients seeking case plan support. From 17 March 2021 to 30 June 2025 the Commission’s data reveals that having a prior case plan made by the FRC on a conditional basis is not an impediment to a client entering into a subsequent voluntary agreement for a VCP. From 17 March 2021 to 30 June 2025, 75% of VCP clients have had a prior conditional case plan (CCP).</w:t>
      </w:r>
    </w:p>
    <w:p w14:paraId="54D29767" w14:textId="77777777" w:rsidR="005A066E" w:rsidRPr="00224AA8" w:rsidRDefault="005A066E" w:rsidP="005A066E">
      <w:r w:rsidRPr="00447592">
        <w:t xml:space="preserve">It is evident from the graph below that the Commission is still seeing </w:t>
      </w:r>
      <w:proofErr w:type="gramStart"/>
      <w:r w:rsidRPr="00447592">
        <w:t>a large number of</w:t>
      </w:r>
      <w:proofErr w:type="gramEnd"/>
      <w:r w:rsidRPr="00447592">
        <w:t xml:space="preserve"> voluntary interactions with clients over the last four financial years. Notably, there has been a </w:t>
      </w:r>
      <w:r w:rsidRPr="00447592">
        <w:lastRenderedPageBreak/>
        <w:t>4% increase in VCP’s from 2023-24 to 2024-25. Prior to 2020 and before the onset of COVID, no VCPs were entered into by clients.</w:t>
      </w:r>
    </w:p>
    <w:p w14:paraId="117AE9B5" w14:textId="77777777" w:rsidR="00475502" w:rsidRPr="00224AA8" w:rsidRDefault="00475502" w:rsidP="00475502">
      <w:r w:rsidRPr="00441D93">
        <w:rPr>
          <w:noProof/>
        </w:rPr>
        <w:drawing>
          <wp:anchor distT="0" distB="0" distL="114300" distR="114300" simplePos="0" relativeHeight="251663360" behindDoc="0" locked="0" layoutInCell="1" allowOverlap="1" wp14:anchorId="69B4CC75" wp14:editId="581489BB">
            <wp:simplePos x="0" y="0"/>
            <wp:positionH relativeFrom="margin">
              <wp:align>right</wp:align>
            </wp:positionH>
            <wp:positionV relativeFrom="paragraph">
              <wp:posOffset>187325</wp:posOffset>
            </wp:positionV>
            <wp:extent cx="5400040" cy="3522980"/>
            <wp:effectExtent l="0" t="0" r="0" b="1270"/>
            <wp:wrapSquare wrapText="bothSides"/>
            <wp:docPr id="1320989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522980"/>
                    </a:xfrm>
                    <a:prstGeom prst="rect">
                      <a:avLst/>
                    </a:prstGeom>
                    <a:noFill/>
                    <a:ln>
                      <a:noFill/>
                    </a:ln>
                  </pic:spPr>
                </pic:pic>
              </a:graphicData>
            </a:graphic>
          </wp:anchor>
        </w:drawing>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8494"/>
      </w:tblGrid>
      <w:tr w:rsidR="00475502" w:rsidRPr="00224AA8" w14:paraId="30B5BD7C" w14:textId="77777777" w:rsidTr="00754DA1">
        <w:trPr>
          <w:trHeight w:val="454"/>
        </w:trPr>
        <w:tc>
          <w:tcPr>
            <w:tcW w:w="8494" w:type="dxa"/>
            <w:shd w:val="clear" w:color="auto" w:fill="808080" w:themeFill="background1" w:themeFillShade="80"/>
          </w:tcPr>
          <w:p w14:paraId="33647A54" w14:textId="19DB1897" w:rsidR="00475502" w:rsidRPr="00224AA8" w:rsidRDefault="00475502" w:rsidP="00754DA1">
            <w:pPr>
              <w:spacing w:before="60" w:after="60"/>
              <w:rPr>
                <w:rFonts w:cs="Arial"/>
                <w:b/>
                <w:bCs/>
                <w:color w:val="FFFFFF" w:themeColor="background1"/>
                <w:sz w:val="17"/>
                <w:szCs w:val="17"/>
              </w:rPr>
            </w:pPr>
            <w:r w:rsidRPr="00224AA8">
              <w:rPr>
                <w:rFonts w:cs="Arial"/>
                <w:b/>
                <w:bCs/>
                <w:color w:val="FFFFFF" w:themeColor="background1"/>
                <w:sz w:val="17"/>
                <w:szCs w:val="17"/>
              </w:rPr>
              <w:t xml:space="preserve">Graph </w:t>
            </w:r>
            <w:r>
              <w:rPr>
                <w:rFonts w:cs="Arial"/>
                <w:b/>
                <w:bCs/>
                <w:color w:val="FFFFFF" w:themeColor="background1"/>
                <w:sz w:val="17"/>
                <w:szCs w:val="17"/>
              </w:rPr>
              <w:t>1</w:t>
            </w:r>
            <w:r w:rsidRPr="00224AA8">
              <w:rPr>
                <w:rFonts w:cs="Arial"/>
                <w:b/>
                <w:bCs/>
                <w:color w:val="FFFFFF" w:themeColor="background1"/>
                <w:sz w:val="17"/>
                <w:szCs w:val="17"/>
              </w:rPr>
              <w:t xml:space="preserve">: </w:t>
            </w:r>
            <w:r w:rsidR="00707BE9">
              <w:rPr>
                <w:rFonts w:cs="Arial"/>
                <w:b/>
                <w:bCs/>
                <w:color w:val="FFFFFF" w:themeColor="background1"/>
                <w:sz w:val="17"/>
                <w:szCs w:val="17"/>
              </w:rPr>
              <w:t>VIM</w:t>
            </w:r>
            <w:r w:rsidRPr="00224AA8">
              <w:rPr>
                <w:rFonts w:cs="Arial"/>
                <w:b/>
                <w:bCs/>
                <w:color w:val="FFFFFF" w:themeColor="background1"/>
                <w:sz w:val="17"/>
                <w:szCs w:val="17"/>
              </w:rPr>
              <w:t xml:space="preserve"> and </w:t>
            </w:r>
            <w:r w:rsidR="00707BE9">
              <w:rPr>
                <w:rFonts w:cs="Arial"/>
                <w:b/>
                <w:bCs/>
                <w:color w:val="FFFFFF" w:themeColor="background1"/>
                <w:sz w:val="17"/>
                <w:szCs w:val="17"/>
              </w:rPr>
              <w:t>VCP</w:t>
            </w:r>
            <w:r w:rsidRPr="00224AA8">
              <w:rPr>
                <w:rFonts w:cs="Arial"/>
                <w:b/>
                <w:bCs/>
                <w:color w:val="FFFFFF" w:themeColor="background1"/>
                <w:sz w:val="17"/>
                <w:szCs w:val="17"/>
              </w:rPr>
              <w:t xml:space="preserve"> agreements by financial year since 2014-15</w:t>
            </w:r>
          </w:p>
        </w:tc>
      </w:tr>
    </w:tbl>
    <w:p w14:paraId="47331723" w14:textId="77777777" w:rsidR="00475502" w:rsidRPr="00224AA8" w:rsidRDefault="00475502" w:rsidP="00475502"/>
    <w:p w14:paraId="0E0B726F" w14:textId="03350946" w:rsidR="00475502" w:rsidRPr="00224AA8" w:rsidRDefault="00475502" w:rsidP="00475502">
      <w:r w:rsidRPr="00224AA8">
        <w:t xml:space="preserve">More information about voluntary agreements can be found in the FRC registry and decision-making section of this report. Further analysis of VIM data can be found at page </w:t>
      </w:r>
      <w:r w:rsidRPr="00F431BA">
        <w:t>5</w:t>
      </w:r>
      <w:r w:rsidR="001C3848" w:rsidRPr="00F431BA">
        <w:t>1</w:t>
      </w:r>
      <w:r w:rsidRPr="00224AA8">
        <w:t xml:space="preserve"> and is also discussed </w:t>
      </w:r>
      <w:r>
        <w:t>further</w:t>
      </w:r>
      <w:r w:rsidRPr="00224AA8">
        <w:t xml:space="preserve"> in the context of another performance indicator.</w:t>
      </w:r>
    </w:p>
    <w:p w14:paraId="6831C232" w14:textId="77777777" w:rsidR="00475502" w:rsidRPr="00224AA8" w:rsidRDefault="00475502" w:rsidP="00475502"/>
    <w:p w14:paraId="57F3E901" w14:textId="77777777" w:rsidR="00475502" w:rsidRPr="00224AA8" w:rsidRDefault="00475502" w:rsidP="00475502">
      <w:pPr>
        <w:pStyle w:val="Heading5"/>
      </w:pPr>
      <w:r w:rsidRPr="00224AA8">
        <w:t>Performance Indicator 2: Increased periods of respite for clients from daily living pressures</w:t>
      </w:r>
    </w:p>
    <w:p w14:paraId="14A0B8B0" w14:textId="77777777" w:rsidR="005A066E" w:rsidRDefault="005A066E" w:rsidP="005A066E">
      <w:r w:rsidRPr="00224AA8">
        <w:t xml:space="preserve">The data in graph </w:t>
      </w:r>
      <w:r>
        <w:t>2</w:t>
      </w:r>
      <w:r w:rsidRPr="00224AA8">
        <w:t xml:space="preserve"> tracks the length of time between final decisions made for clients at successive conferences. The increasing length of time between each conference decision may suggest personal responsibility is increasing.</w:t>
      </w:r>
    </w:p>
    <w:p w14:paraId="74D9E9B0" w14:textId="77777777" w:rsidR="005A066E" w:rsidRPr="00224AA8" w:rsidRDefault="005A066E" w:rsidP="005A066E">
      <w:r>
        <w:t>T</w:t>
      </w:r>
      <w:r w:rsidRPr="00224AA8">
        <w:t xml:space="preserve">he </w:t>
      </w:r>
      <w:r>
        <w:t xml:space="preserve">graph shows the length of time between final decisions has remained </w:t>
      </w:r>
      <w:proofErr w:type="gramStart"/>
      <w:r>
        <w:t>fairly stable</w:t>
      </w:r>
      <w:proofErr w:type="gramEnd"/>
      <w:r>
        <w:t xml:space="preserve"> from 2023-24 to 2024-25 apart from the shift in the “more than 6 months to 12 months” to “more than 12 months to 2 years” category. The FRC has identified a reduction in the percentage of clients who have not been the subject of a final decision of “more than 6 months to 12 months”, recording 26% as compared to 29% in 2023-24. There is a corresponding increase in the percentage of clients who have transitioned to the category of “more than 12 months to 2 years” increasing from 17% in 2023-24 to 23% in 2024-25</w:t>
      </w:r>
      <w:r w:rsidRPr="00224AA8">
        <w:t>.</w:t>
      </w:r>
    </w:p>
    <w:p w14:paraId="21584BDF" w14:textId="77777777" w:rsidR="00475502" w:rsidRPr="00224AA8" w:rsidRDefault="00475502" w:rsidP="00475502">
      <w:pPr>
        <w:spacing w:after="0" w:line="240" w:lineRule="auto"/>
      </w:pPr>
      <w:r w:rsidRPr="00E50895">
        <w:rPr>
          <w:noProof/>
        </w:rPr>
        <w:lastRenderedPageBreak/>
        <w:drawing>
          <wp:inline distT="0" distB="0" distL="0" distR="0" wp14:anchorId="26F4B3FC" wp14:editId="14A9975A">
            <wp:extent cx="5400040" cy="3291205"/>
            <wp:effectExtent l="0" t="0" r="0" b="4445"/>
            <wp:docPr id="18348015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291205"/>
                    </a:xfrm>
                    <a:prstGeom prst="rect">
                      <a:avLst/>
                    </a:prstGeom>
                    <a:noFill/>
                    <a:ln>
                      <a:noFill/>
                    </a:ln>
                  </pic:spPr>
                </pic:pic>
              </a:graphicData>
            </a:graphic>
          </wp:inline>
        </w:drawing>
      </w:r>
    </w:p>
    <w:p w14:paraId="53636ECC" w14:textId="77777777" w:rsidR="00475502" w:rsidRPr="00224AA8" w:rsidRDefault="00475502" w:rsidP="00475502">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8494"/>
      </w:tblGrid>
      <w:tr w:rsidR="00475502" w:rsidRPr="00224AA8" w14:paraId="5DAAC9C3" w14:textId="77777777" w:rsidTr="00754DA1">
        <w:trPr>
          <w:trHeight w:val="454"/>
        </w:trPr>
        <w:tc>
          <w:tcPr>
            <w:tcW w:w="8494" w:type="dxa"/>
            <w:shd w:val="clear" w:color="auto" w:fill="808080" w:themeFill="background1" w:themeFillShade="80"/>
          </w:tcPr>
          <w:p w14:paraId="289E5836" w14:textId="77777777" w:rsidR="00475502" w:rsidRPr="00224AA8" w:rsidRDefault="00475502" w:rsidP="00754DA1">
            <w:pPr>
              <w:spacing w:before="60" w:after="60"/>
              <w:rPr>
                <w:rFonts w:cs="Arial"/>
                <w:b/>
                <w:bCs/>
                <w:color w:val="FFFFFF" w:themeColor="background1"/>
                <w:sz w:val="17"/>
                <w:szCs w:val="17"/>
              </w:rPr>
            </w:pPr>
            <w:bookmarkStart w:id="0" w:name="_Hlk172193188"/>
            <w:r w:rsidRPr="00224AA8">
              <w:rPr>
                <w:rFonts w:cs="Arial"/>
                <w:b/>
                <w:bCs/>
                <w:color w:val="FFFFFF" w:themeColor="background1"/>
                <w:sz w:val="17"/>
                <w:szCs w:val="17"/>
              </w:rPr>
              <w:t xml:space="preserve">Graph </w:t>
            </w:r>
            <w:r>
              <w:rPr>
                <w:rFonts w:cs="Arial"/>
                <w:b/>
                <w:bCs/>
                <w:color w:val="FFFFFF" w:themeColor="background1"/>
                <w:sz w:val="17"/>
                <w:szCs w:val="17"/>
              </w:rPr>
              <w:t>2</w:t>
            </w:r>
            <w:r w:rsidRPr="00224AA8">
              <w:rPr>
                <w:rFonts w:cs="Arial"/>
                <w:b/>
                <w:bCs/>
                <w:color w:val="FFFFFF" w:themeColor="background1"/>
                <w:sz w:val="17"/>
                <w:szCs w:val="17"/>
              </w:rPr>
              <w:t>: Length of time between final decisions by financial year</w:t>
            </w:r>
          </w:p>
        </w:tc>
      </w:tr>
      <w:bookmarkEnd w:id="0"/>
    </w:tbl>
    <w:p w14:paraId="7C0B15E1" w14:textId="77777777" w:rsidR="00475502" w:rsidRPr="00224AA8" w:rsidRDefault="00475502" w:rsidP="00475502"/>
    <w:p w14:paraId="505342FC" w14:textId="77777777" w:rsidR="00475502" w:rsidRPr="00224AA8" w:rsidRDefault="00475502" w:rsidP="00475502">
      <w:pPr>
        <w:pStyle w:val="Heading6"/>
      </w:pPr>
      <w:r w:rsidRPr="00224AA8">
        <w:t>Voluntary income management agreements</w:t>
      </w:r>
    </w:p>
    <w:p w14:paraId="0981DD8B" w14:textId="77777777" w:rsidR="00DC671E" w:rsidRDefault="00DC671E" w:rsidP="00DC671E">
      <w:pPr>
        <w:spacing w:after="160" w:line="259" w:lineRule="auto"/>
      </w:pPr>
      <w:r w:rsidRPr="00224AA8">
        <w:t xml:space="preserve">The </w:t>
      </w:r>
      <w:r>
        <w:t xml:space="preserve">uptake </w:t>
      </w:r>
      <w:r w:rsidRPr="00224AA8">
        <w:t xml:space="preserve">in the number of VIMs in recent years when compared to earlier years (see graph </w:t>
      </w:r>
      <w:r>
        <w:t>1</w:t>
      </w:r>
      <w:r w:rsidRPr="00224AA8">
        <w:t xml:space="preserve">) is consistent with a broader and well-established trend of an increased willingness of clients to take steps towards personal responsibility. </w:t>
      </w:r>
      <w:r w:rsidRPr="00224AA8">
        <w:rPr>
          <w:iCs/>
        </w:rPr>
        <w:t xml:space="preserve">VIM has proven to be a useful budgeting tool for clients, to ensure household needs and financial obligations are met, and in some cases, to achieve savings goals. Clients </w:t>
      </w:r>
      <w:r w:rsidRPr="00224AA8">
        <w:t xml:space="preserve">experiencing financial abuse in relationships with domestic violence and/or coercive control have also reported that </w:t>
      </w:r>
      <w:proofErr w:type="gramStart"/>
      <w:r w:rsidRPr="00224AA8">
        <w:t>entering into</w:t>
      </w:r>
      <w:proofErr w:type="gramEnd"/>
      <w:r w:rsidRPr="00224AA8">
        <w:t xml:space="preserve"> a VIM is a way to provide stability and protection for children and other vulnerable members of the household.</w:t>
      </w:r>
    </w:p>
    <w:p w14:paraId="561CC49C" w14:textId="77777777" w:rsidR="00DC671E" w:rsidRPr="00304048" w:rsidRDefault="00DC671E" w:rsidP="00DC671E">
      <w:r w:rsidRPr="00304048">
        <w:t xml:space="preserve">Between 17 March 2021 and </w:t>
      </w:r>
      <w:r>
        <w:t>30 June</w:t>
      </w:r>
      <w:r w:rsidRPr="00304048">
        <w:t xml:space="preserve"> 2025, a total of </w:t>
      </w:r>
      <w:r>
        <w:t>549</w:t>
      </w:r>
      <w:r w:rsidRPr="00304048">
        <w:t xml:space="preserve"> VIM agreements were entered into. Of the </w:t>
      </w:r>
      <w:r>
        <w:t>549</w:t>
      </w:r>
      <w:r w:rsidRPr="00304048">
        <w:t xml:space="preserve"> agreements, </w:t>
      </w:r>
      <w:r w:rsidRPr="009F5D99">
        <w:t xml:space="preserve">41% </w:t>
      </w:r>
      <w:r w:rsidRPr="00304048">
        <w:t>(2</w:t>
      </w:r>
      <w:r>
        <w:t>23</w:t>
      </w:r>
      <w:r w:rsidRPr="00304048">
        <w:t>) specifically relate to an agreement where the client is considered an older Australian.</w:t>
      </w:r>
      <w:r>
        <w:rPr>
          <w:rStyle w:val="FootnoteReference"/>
        </w:rPr>
        <w:footnoteReference w:id="2"/>
      </w:r>
    </w:p>
    <w:p w14:paraId="28AF6778" w14:textId="2E47209D" w:rsidR="00DC671E" w:rsidRDefault="004F1237" w:rsidP="00DC671E">
      <w:r w:rsidRPr="00304048">
        <w:t xml:space="preserve">Between 17 March 2021 and </w:t>
      </w:r>
      <w:r>
        <w:t>30 June</w:t>
      </w:r>
      <w:r w:rsidRPr="00304048">
        <w:t xml:space="preserve"> 2025</w:t>
      </w:r>
      <w:r>
        <w:t xml:space="preserve"> a</w:t>
      </w:r>
      <w:r w:rsidR="00DC671E" w:rsidRPr="00304048">
        <w:t xml:space="preserve"> total of </w:t>
      </w:r>
      <w:r w:rsidR="00DC671E">
        <w:t>125</w:t>
      </w:r>
      <w:r w:rsidR="00DC671E" w:rsidRPr="00304048">
        <w:t xml:space="preserve"> VIM agreements have been entered into where the client indicated one of the </w:t>
      </w:r>
      <w:proofErr w:type="gramStart"/>
      <w:r w:rsidR="00DC671E" w:rsidRPr="00304048">
        <w:t>reasons</w:t>
      </w:r>
      <w:proofErr w:type="gramEnd"/>
      <w:r w:rsidR="00DC671E" w:rsidRPr="00304048">
        <w:t xml:space="preserve"> they were entering into a </w:t>
      </w:r>
      <w:r w:rsidR="00DC671E">
        <w:t>VIM</w:t>
      </w:r>
      <w:r w:rsidR="00DC671E" w:rsidRPr="00304048">
        <w:t xml:space="preserve"> agreement was to protect their payments.</w:t>
      </w:r>
      <w:r w:rsidR="00DC671E">
        <w:rPr>
          <w:rStyle w:val="FootnoteReference"/>
        </w:rPr>
        <w:footnoteReference w:id="3"/>
      </w:r>
      <w:r w:rsidR="00DC671E" w:rsidRPr="00304048">
        <w:t xml:space="preserve"> This represents a total of 23% of all VIM agreements over the same </w:t>
      </w:r>
      <w:proofErr w:type="gramStart"/>
      <w:r w:rsidR="00DC671E" w:rsidRPr="00304048">
        <w:t>time period</w:t>
      </w:r>
      <w:proofErr w:type="gramEnd"/>
      <w:r w:rsidR="00DC671E" w:rsidRPr="00304048">
        <w:t xml:space="preserve"> where the client wished to protect their payments. Out of the 1</w:t>
      </w:r>
      <w:r w:rsidR="00DC671E">
        <w:t>25</w:t>
      </w:r>
      <w:r w:rsidR="00DC671E" w:rsidRPr="00304048">
        <w:t xml:space="preserve"> VIM agreements where a client indicated the need to protect their payments</w:t>
      </w:r>
      <w:r w:rsidR="00DC671E">
        <w:t>,</w:t>
      </w:r>
      <w:r w:rsidR="00DC671E" w:rsidRPr="00304048">
        <w:t xml:space="preserve"> </w:t>
      </w:r>
      <w:r w:rsidR="00DC671E" w:rsidRPr="00304048">
        <w:rPr>
          <w:b/>
          <w:bCs/>
        </w:rPr>
        <w:t>6</w:t>
      </w:r>
      <w:r w:rsidR="00DC671E">
        <w:rPr>
          <w:b/>
          <w:bCs/>
        </w:rPr>
        <w:t>3</w:t>
      </w:r>
      <w:r w:rsidR="00DC671E" w:rsidRPr="00304048">
        <w:rPr>
          <w:b/>
          <w:bCs/>
        </w:rPr>
        <w:t xml:space="preserve">% </w:t>
      </w:r>
      <w:r w:rsidR="00DC671E" w:rsidRPr="00304048">
        <w:t>(7</w:t>
      </w:r>
      <w:r w:rsidR="00DC671E">
        <w:t>9</w:t>
      </w:r>
      <w:r w:rsidR="00DC671E" w:rsidRPr="00304048">
        <w:t>) specifically relate to an agreement where the client was an older person.</w:t>
      </w:r>
    </w:p>
    <w:p w14:paraId="7146D3FD" w14:textId="77777777" w:rsidR="00AD71C9" w:rsidRDefault="00AD71C9">
      <w:pPr>
        <w:spacing w:after="160" w:line="259" w:lineRule="auto"/>
      </w:pPr>
      <w:r>
        <w:br w:type="page"/>
      </w:r>
    </w:p>
    <w:p w14:paraId="5D90AE56" w14:textId="77777777" w:rsidR="00833CFE" w:rsidRDefault="00833CFE" w:rsidP="00833CFE">
      <w:r w:rsidRPr="00304048">
        <w:lastRenderedPageBreak/>
        <w:t>Clients may not always wish to declare that the purpose of their VIM agreement is to protect their payments. Elders may be fearful of retribution or feel shame about being the subject of abuse. The FRC’s data collection provides for a range of other reasons including to buy food, to pay bills, or to save for something they need, which may be recorded in the alternative.</w:t>
      </w:r>
    </w:p>
    <w:p w14:paraId="127CF93A" w14:textId="3B075FFD" w:rsidR="00833CFE" w:rsidRDefault="004F1237" w:rsidP="00833CFE">
      <w:r w:rsidRPr="00304048">
        <w:t xml:space="preserve">Between 17 March 2021 and </w:t>
      </w:r>
      <w:r>
        <w:t>30 June</w:t>
      </w:r>
      <w:r w:rsidRPr="00304048">
        <w:t xml:space="preserve"> 2025</w:t>
      </w:r>
      <w:r>
        <w:t xml:space="preserve"> a</w:t>
      </w:r>
      <w:r w:rsidR="00833CFE" w:rsidRPr="00304048">
        <w:t xml:space="preserve"> total of 3</w:t>
      </w:r>
      <w:r w:rsidR="00833CFE">
        <w:t>97</w:t>
      </w:r>
      <w:r w:rsidR="00833CFE" w:rsidRPr="00304048">
        <w:t xml:space="preserve"> VIM agreements have been entered into over the relevant </w:t>
      </w:r>
      <w:proofErr w:type="gramStart"/>
      <w:r w:rsidR="00833CFE" w:rsidRPr="00304048">
        <w:t>time period</w:t>
      </w:r>
      <w:proofErr w:type="gramEnd"/>
      <w:r w:rsidR="00833CFE" w:rsidRPr="00304048">
        <w:t xml:space="preserve"> where the client indicated one of the </w:t>
      </w:r>
      <w:proofErr w:type="gramStart"/>
      <w:r w:rsidR="00833CFE" w:rsidRPr="00304048">
        <w:t>circumstances</w:t>
      </w:r>
      <w:proofErr w:type="gramEnd"/>
      <w:r w:rsidR="00833CFE" w:rsidRPr="00304048">
        <w:t xml:space="preserve"> they were entering into a </w:t>
      </w:r>
      <w:r w:rsidR="00833CFE">
        <w:t xml:space="preserve">VIM </w:t>
      </w:r>
      <w:r w:rsidR="00833CFE" w:rsidRPr="00304048">
        <w:t>agreement was “I need to support myself”. This represents a total of 7</w:t>
      </w:r>
      <w:r w:rsidR="00833CFE">
        <w:t>2</w:t>
      </w:r>
      <w:r w:rsidR="00833CFE" w:rsidRPr="00304048">
        <w:t xml:space="preserve">% of all VIM agreements over the </w:t>
      </w:r>
      <w:proofErr w:type="gramStart"/>
      <w:r w:rsidR="00833CFE" w:rsidRPr="00304048">
        <w:t>time period</w:t>
      </w:r>
      <w:proofErr w:type="gramEnd"/>
      <w:r w:rsidR="00833CFE" w:rsidRPr="00304048">
        <w:t xml:space="preserve"> where the client needed support for themselves. Out of the 3</w:t>
      </w:r>
      <w:r w:rsidR="00833CFE">
        <w:t>97</w:t>
      </w:r>
      <w:r w:rsidR="00833CFE" w:rsidRPr="00304048">
        <w:t xml:space="preserve"> VIM agreements where a client indicated they needed support for themselves</w:t>
      </w:r>
      <w:r w:rsidR="00833CFE">
        <w:t>,</w:t>
      </w:r>
      <w:r w:rsidR="00833CFE" w:rsidRPr="00304048">
        <w:t xml:space="preserve"> 44% (1</w:t>
      </w:r>
      <w:r w:rsidR="00833CFE">
        <w:t>74</w:t>
      </w:r>
      <w:r w:rsidR="00833CFE" w:rsidRPr="00304048">
        <w:t>) specifically relate to an agreement where the client is considered an older Australian. This indicates a high proportion of older clients are entering into VIM agreements to ensure their payments are being used to support themselves.</w:t>
      </w:r>
    </w:p>
    <w:p w14:paraId="2F7C2057" w14:textId="77777777" w:rsidR="00475502" w:rsidRDefault="00475502" w:rsidP="00475502"/>
    <w:p w14:paraId="47F16E04" w14:textId="77777777" w:rsidR="00475502" w:rsidRPr="00783A1A" w:rsidRDefault="00475502" w:rsidP="00475502">
      <w:pPr>
        <w:pStyle w:val="Heading6"/>
      </w:pPr>
      <w:r w:rsidRPr="00783A1A">
        <w:t>VIMs and VCPs provide access to coordinated support</w:t>
      </w:r>
    </w:p>
    <w:p w14:paraId="7E45FC47" w14:textId="77777777" w:rsidR="002314B6" w:rsidRPr="00783A1A" w:rsidRDefault="002314B6" w:rsidP="002314B6">
      <w:r w:rsidRPr="00783A1A">
        <w:t xml:space="preserve">Many clients opting to enter into a VIM agreement are also taking up </w:t>
      </w:r>
      <w:r>
        <w:t>VCPs</w:t>
      </w:r>
      <w:r w:rsidRPr="00783A1A">
        <w:t xml:space="preserve">, for referral to support services to assist with money management and/or social and emotional wellbeing. These clients are offered ongoing assistance and case management support as part of the Commission’s </w:t>
      </w:r>
      <w:r w:rsidRPr="009F5D99">
        <w:t>CE</w:t>
      </w:r>
      <w:r w:rsidRPr="00783A1A">
        <w:t xml:space="preserve"> approach.</w:t>
      </w:r>
    </w:p>
    <w:p w14:paraId="5DEC2488" w14:textId="77777777" w:rsidR="002314B6" w:rsidRPr="00783A1A" w:rsidRDefault="002314B6" w:rsidP="002314B6">
      <w:r w:rsidRPr="00783A1A">
        <w:t>The FRC’s CE approach is an innovative way of working with clients outside of the formal processes of conference to encourage autonomy and decision-making for themselves and their families, and if needed, receive ongoing case management support to achieve their case plan goals. The aim of this approach is to build the confidence and capacity of community members. Where the FRC continues</w:t>
      </w:r>
      <w:r>
        <w:t xml:space="preserve"> </w:t>
      </w:r>
      <w:r w:rsidRPr="00783A1A">
        <w:t>to have capacity to undertake this approach, it can bridge a significant gap in service provision for Elders experiencing abuse.</w:t>
      </w:r>
    </w:p>
    <w:p w14:paraId="47424F3F" w14:textId="77777777" w:rsidR="002314B6" w:rsidRDefault="002314B6" w:rsidP="002314B6">
      <w:r w:rsidRPr="00783A1A">
        <w:t>Even where no formal case plan is in place, where clients enter into a VIM agreement, it allows FRC staff and Local Commissioners to regularly check in on clients, for example, to ensure their card has arrived and is working, and to check in towards the end of the agreement to see if clients wish to renew their VIM before it expires.</w:t>
      </w:r>
    </w:p>
    <w:p w14:paraId="77F2E13B" w14:textId="77777777" w:rsidR="00475502" w:rsidRPr="00783A1A" w:rsidRDefault="00475502" w:rsidP="00475502"/>
    <w:p w14:paraId="3BB79E61" w14:textId="77777777" w:rsidR="00475502" w:rsidRPr="00783A1A" w:rsidRDefault="00475502" w:rsidP="00475502">
      <w:pPr>
        <w:pStyle w:val="Heading6"/>
      </w:pPr>
      <w:r w:rsidRPr="00783A1A">
        <w:t>VIMs empower people to retain agency over their financial decisions</w:t>
      </w:r>
    </w:p>
    <w:p w14:paraId="60E3F263" w14:textId="77777777" w:rsidR="00723519" w:rsidRPr="00224AA8" w:rsidRDefault="00723519" w:rsidP="00723519">
      <w:r w:rsidRPr="00783A1A">
        <w:t>FRC community members can seek to have different proportions of their eligible welfare payments managed. Where Elders are particularly vulnerable to abuse, up to 90% of their payments can be protected. In other circumstances, where people find it a helpful tool to assist with budgeting, a smaller proportion of their income can be quarantined onto the SmartCard.</w:t>
      </w:r>
    </w:p>
    <w:p w14:paraId="56163D83" w14:textId="77777777" w:rsidR="00475502" w:rsidRDefault="00475502" w:rsidP="00475502">
      <w:pPr>
        <w:spacing w:after="160" w:line="259" w:lineRule="auto"/>
        <w:rPr>
          <w:iCs/>
        </w:rPr>
      </w:pPr>
      <w:r>
        <w:rPr>
          <w:iCs/>
        </w:rPr>
        <w:br w:type="page"/>
      </w:r>
    </w:p>
    <w:p w14:paraId="369032BA" w14:textId="77777777" w:rsidR="00723519" w:rsidRPr="00224AA8" w:rsidRDefault="00723519" w:rsidP="00723519">
      <w:pPr>
        <w:spacing w:after="160" w:line="259" w:lineRule="auto"/>
        <w:rPr>
          <w:iCs/>
        </w:rPr>
      </w:pPr>
      <w:r w:rsidRPr="00224AA8">
        <w:rPr>
          <w:iCs/>
        </w:rPr>
        <w:lastRenderedPageBreak/>
        <w:t>During 202</w:t>
      </w:r>
      <w:r>
        <w:rPr>
          <w:iCs/>
        </w:rPr>
        <w:t>4</w:t>
      </w:r>
      <w:r w:rsidRPr="00224AA8">
        <w:rPr>
          <w:iCs/>
        </w:rPr>
        <w:t>-2</w:t>
      </w:r>
      <w:r>
        <w:rPr>
          <w:iCs/>
        </w:rPr>
        <w:t>5</w:t>
      </w:r>
      <w:r w:rsidRPr="00224AA8">
        <w:rPr>
          <w:iCs/>
        </w:rPr>
        <w:t xml:space="preserve"> the most frequent reason</w:t>
      </w:r>
      <w:r w:rsidRPr="00224AA8">
        <w:rPr>
          <w:rStyle w:val="FootnoteReference"/>
          <w:iCs/>
        </w:rPr>
        <w:footnoteReference w:id="4"/>
      </w:r>
      <w:r w:rsidRPr="00224AA8">
        <w:rPr>
          <w:iCs/>
        </w:rPr>
        <w:t xml:space="preserve"> chosen by clients to enter into a voluntary agreement for VIM was “to buy food” (</w:t>
      </w:r>
      <w:r>
        <w:rPr>
          <w:iCs/>
        </w:rPr>
        <w:t>65</w:t>
      </w:r>
      <w:r w:rsidRPr="00224AA8">
        <w:rPr>
          <w:iCs/>
        </w:rPr>
        <w:t>), followed by “to budget” (</w:t>
      </w:r>
      <w:r>
        <w:rPr>
          <w:iCs/>
        </w:rPr>
        <w:t>58</w:t>
      </w:r>
      <w:r w:rsidRPr="00224AA8">
        <w:rPr>
          <w:iCs/>
        </w:rPr>
        <w:t>), “to pay for bills” (</w:t>
      </w:r>
      <w:r>
        <w:rPr>
          <w:iCs/>
        </w:rPr>
        <w:t>48</w:t>
      </w:r>
      <w:r w:rsidRPr="00224AA8">
        <w:rPr>
          <w:iCs/>
        </w:rPr>
        <w:t>) and “to save for something I need” (</w:t>
      </w:r>
      <w:r>
        <w:rPr>
          <w:iCs/>
        </w:rPr>
        <w:t>45</w:t>
      </w:r>
      <w:r w:rsidRPr="00224AA8">
        <w:rPr>
          <w:iCs/>
        </w:rPr>
        <w:t>).</w:t>
      </w:r>
    </w:p>
    <w:tbl>
      <w:tblPr>
        <w:tblStyle w:val="TableGrid"/>
        <w:tblW w:w="0" w:type="auto"/>
        <w:tblLook w:val="04A0" w:firstRow="1" w:lastRow="0" w:firstColumn="1" w:lastColumn="0" w:noHBand="0" w:noVBand="1"/>
      </w:tblPr>
      <w:tblGrid>
        <w:gridCol w:w="2041"/>
        <w:gridCol w:w="721"/>
        <w:gridCol w:w="720"/>
        <w:gridCol w:w="720"/>
        <w:gridCol w:w="720"/>
        <w:gridCol w:w="720"/>
        <w:gridCol w:w="720"/>
        <w:gridCol w:w="720"/>
        <w:gridCol w:w="661"/>
        <w:gridCol w:w="751"/>
      </w:tblGrid>
      <w:tr w:rsidR="00475502" w:rsidRPr="00224AA8" w14:paraId="752F335E" w14:textId="77777777" w:rsidTr="00754DA1">
        <w:tc>
          <w:tcPr>
            <w:tcW w:w="2041" w:type="dxa"/>
            <w:shd w:val="clear" w:color="auto" w:fill="808080" w:themeFill="background1" w:themeFillShade="80"/>
          </w:tcPr>
          <w:p w14:paraId="4CDBEAF2" w14:textId="77777777" w:rsidR="00475502" w:rsidRPr="00775719" w:rsidRDefault="00475502" w:rsidP="00754DA1">
            <w:pPr>
              <w:spacing w:after="60"/>
              <w:rPr>
                <w:rFonts w:cs="Arial"/>
                <w:b/>
                <w:bCs/>
                <w:color w:val="FFFFFF" w:themeColor="background1"/>
                <w:sz w:val="18"/>
                <w:szCs w:val="18"/>
              </w:rPr>
            </w:pPr>
            <w:r w:rsidRPr="00775719">
              <w:rPr>
                <w:rFonts w:cs="Arial"/>
                <w:b/>
                <w:bCs/>
                <w:color w:val="FFFFFF" w:themeColor="background1"/>
                <w:sz w:val="18"/>
                <w:szCs w:val="18"/>
              </w:rPr>
              <w:t>VIM Reason/s</w:t>
            </w:r>
          </w:p>
        </w:tc>
        <w:tc>
          <w:tcPr>
            <w:tcW w:w="721" w:type="dxa"/>
            <w:shd w:val="clear" w:color="auto" w:fill="808080" w:themeFill="background1" w:themeFillShade="80"/>
          </w:tcPr>
          <w:p w14:paraId="2BD1151D" w14:textId="77777777" w:rsidR="00475502" w:rsidRPr="00775719" w:rsidRDefault="00475502" w:rsidP="00754DA1">
            <w:pPr>
              <w:spacing w:after="60"/>
              <w:rPr>
                <w:rFonts w:cs="Arial"/>
                <w:b/>
                <w:bCs/>
                <w:color w:val="FFFFFF" w:themeColor="background1"/>
                <w:sz w:val="18"/>
                <w:szCs w:val="18"/>
              </w:rPr>
            </w:pPr>
            <w:r w:rsidRPr="00775719">
              <w:rPr>
                <w:rFonts w:cs="Arial"/>
                <w:b/>
                <w:bCs/>
                <w:color w:val="FFFFFF" w:themeColor="background1"/>
                <w:sz w:val="18"/>
                <w:szCs w:val="18"/>
              </w:rPr>
              <w:t>18-25</w:t>
            </w:r>
          </w:p>
        </w:tc>
        <w:tc>
          <w:tcPr>
            <w:tcW w:w="720" w:type="dxa"/>
            <w:shd w:val="clear" w:color="auto" w:fill="808080" w:themeFill="background1" w:themeFillShade="80"/>
          </w:tcPr>
          <w:p w14:paraId="0F23D327" w14:textId="77777777" w:rsidR="00475502" w:rsidRPr="00775719" w:rsidRDefault="00475502" w:rsidP="00754DA1">
            <w:pPr>
              <w:spacing w:after="60"/>
              <w:rPr>
                <w:rFonts w:cs="Arial"/>
                <w:b/>
                <w:bCs/>
                <w:color w:val="FFFFFF" w:themeColor="background1"/>
                <w:sz w:val="18"/>
                <w:szCs w:val="18"/>
              </w:rPr>
            </w:pPr>
            <w:r w:rsidRPr="00775719">
              <w:rPr>
                <w:rFonts w:cs="Arial"/>
                <w:b/>
                <w:bCs/>
                <w:color w:val="FFFFFF" w:themeColor="background1"/>
                <w:sz w:val="18"/>
                <w:szCs w:val="18"/>
              </w:rPr>
              <w:t>26-35</w:t>
            </w:r>
          </w:p>
        </w:tc>
        <w:tc>
          <w:tcPr>
            <w:tcW w:w="720" w:type="dxa"/>
            <w:shd w:val="clear" w:color="auto" w:fill="808080" w:themeFill="background1" w:themeFillShade="80"/>
          </w:tcPr>
          <w:p w14:paraId="6C683BEF" w14:textId="77777777" w:rsidR="00475502" w:rsidRPr="00775719" w:rsidRDefault="00475502" w:rsidP="00754DA1">
            <w:pPr>
              <w:spacing w:after="60"/>
              <w:rPr>
                <w:rFonts w:cs="Arial"/>
                <w:b/>
                <w:bCs/>
                <w:color w:val="FFFFFF" w:themeColor="background1"/>
                <w:sz w:val="18"/>
                <w:szCs w:val="18"/>
              </w:rPr>
            </w:pPr>
            <w:r w:rsidRPr="00775719">
              <w:rPr>
                <w:rFonts w:cs="Arial"/>
                <w:b/>
                <w:bCs/>
                <w:color w:val="FFFFFF" w:themeColor="background1"/>
                <w:sz w:val="18"/>
                <w:szCs w:val="18"/>
              </w:rPr>
              <w:t>36-45</w:t>
            </w:r>
          </w:p>
        </w:tc>
        <w:tc>
          <w:tcPr>
            <w:tcW w:w="720" w:type="dxa"/>
            <w:shd w:val="clear" w:color="auto" w:fill="808080" w:themeFill="background1" w:themeFillShade="80"/>
          </w:tcPr>
          <w:p w14:paraId="75D02593" w14:textId="77777777" w:rsidR="00475502" w:rsidRPr="00775719" w:rsidRDefault="00475502" w:rsidP="00754DA1">
            <w:pPr>
              <w:spacing w:after="60"/>
              <w:rPr>
                <w:rFonts w:cs="Arial"/>
                <w:b/>
                <w:bCs/>
                <w:color w:val="FFFFFF" w:themeColor="background1"/>
                <w:sz w:val="18"/>
                <w:szCs w:val="18"/>
              </w:rPr>
            </w:pPr>
            <w:r w:rsidRPr="00775719">
              <w:rPr>
                <w:rFonts w:cs="Arial"/>
                <w:b/>
                <w:bCs/>
                <w:color w:val="FFFFFF" w:themeColor="background1"/>
                <w:sz w:val="18"/>
                <w:szCs w:val="18"/>
              </w:rPr>
              <w:t>46-55</w:t>
            </w:r>
          </w:p>
        </w:tc>
        <w:tc>
          <w:tcPr>
            <w:tcW w:w="720" w:type="dxa"/>
            <w:shd w:val="clear" w:color="auto" w:fill="808080" w:themeFill="background1" w:themeFillShade="80"/>
          </w:tcPr>
          <w:p w14:paraId="4D3E6C04" w14:textId="77777777" w:rsidR="00475502" w:rsidRPr="00775719" w:rsidRDefault="00475502" w:rsidP="00754DA1">
            <w:pPr>
              <w:spacing w:after="60"/>
              <w:rPr>
                <w:rFonts w:cs="Arial"/>
                <w:b/>
                <w:bCs/>
                <w:color w:val="FFFFFF" w:themeColor="background1"/>
                <w:sz w:val="18"/>
                <w:szCs w:val="18"/>
              </w:rPr>
            </w:pPr>
            <w:r w:rsidRPr="00775719">
              <w:rPr>
                <w:rFonts w:cs="Arial"/>
                <w:b/>
                <w:bCs/>
                <w:color w:val="FFFFFF" w:themeColor="background1"/>
                <w:sz w:val="18"/>
                <w:szCs w:val="18"/>
              </w:rPr>
              <w:t>56-65</w:t>
            </w:r>
          </w:p>
        </w:tc>
        <w:tc>
          <w:tcPr>
            <w:tcW w:w="720" w:type="dxa"/>
            <w:shd w:val="clear" w:color="auto" w:fill="808080" w:themeFill="background1" w:themeFillShade="80"/>
          </w:tcPr>
          <w:p w14:paraId="6EC2B9C8" w14:textId="77777777" w:rsidR="00475502" w:rsidRPr="00775719" w:rsidRDefault="00475502" w:rsidP="00754DA1">
            <w:pPr>
              <w:spacing w:after="60"/>
              <w:rPr>
                <w:rFonts w:cs="Arial"/>
                <w:b/>
                <w:bCs/>
                <w:color w:val="FFFFFF" w:themeColor="background1"/>
                <w:sz w:val="18"/>
                <w:szCs w:val="18"/>
              </w:rPr>
            </w:pPr>
            <w:r w:rsidRPr="00775719">
              <w:rPr>
                <w:rFonts w:cs="Arial"/>
                <w:b/>
                <w:bCs/>
                <w:color w:val="FFFFFF" w:themeColor="background1"/>
                <w:sz w:val="18"/>
                <w:szCs w:val="18"/>
              </w:rPr>
              <w:t>66-75</w:t>
            </w:r>
          </w:p>
        </w:tc>
        <w:tc>
          <w:tcPr>
            <w:tcW w:w="720" w:type="dxa"/>
            <w:shd w:val="clear" w:color="auto" w:fill="808080" w:themeFill="background1" w:themeFillShade="80"/>
          </w:tcPr>
          <w:p w14:paraId="3F5E0FD0" w14:textId="77777777" w:rsidR="00475502" w:rsidRPr="00775719" w:rsidRDefault="00475502" w:rsidP="00754DA1">
            <w:pPr>
              <w:spacing w:after="60"/>
              <w:rPr>
                <w:rFonts w:cs="Arial"/>
                <w:b/>
                <w:bCs/>
                <w:color w:val="FFFFFF" w:themeColor="background1"/>
                <w:sz w:val="18"/>
                <w:szCs w:val="18"/>
              </w:rPr>
            </w:pPr>
            <w:r w:rsidRPr="00775719">
              <w:rPr>
                <w:rFonts w:cs="Arial"/>
                <w:b/>
                <w:bCs/>
                <w:color w:val="FFFFFF" w:themeColor="background1"/>
                <w:sz w:val="18"/>
                <w:szCs w:val="18"/>
              </w:rPr>
              <w:t>76-85</w:t>
            </w:r>
          </w:p>
        </w:tc>
        <w:tc>
          <w:tcPr>
            <w:tcW w:w="661" w:type="dxa"/>
            <w:shd w:val="clear" w:color="auto" w:fill="808080" w:themeFill="background1" w:themeFillShade="80"/>
          </w:tcPr>
          <w:p w14:paraId="1691769B" w14:textId="77777777" w:rsidR="00475502" w:rsidRPr="00775719" w:rsidRDefault="00475502" w:rsidP="00754DA1">
            <w:pPr>
              <w:spacing w:after="60"/>
              <w:rPr>
                <w:rFonts w:cs="Arial"/>
                <w:b/>
                <w:bCs/>
                <w:color w:val="FFFFFF" w:themeColor="background1"/>
                <w:sz w:val="18"/>
                <w:szCs w:val="18"/>
              </w:rPr>
            </w:pPr>
            <w:r w:rsidRPr="00775719">
              <w:rPr>
                <w:rFonts w:cs="Arial"/>
                <w:b/>
                <w:bCs/>
                <w:color w:val="FFFFFF" w:themeColor="background1"/>
                <w:sz w:val="18"/>
                <w:szCs w:val="18"/>
              </w:rPr>
              <w:t>86+</w:t>
            </w:r>
          </w:p>
        </w:tc>
        <w:tc>
          <w:tcPr>
            <w:tcW w:w="751" w:type="dxa"/>
            <w:shd w:val="clear" w:color="auto" w:fill="808080" w:themeFill="background1" w:themeFillShade="80"/>
          </w:tcPr>
          <w:p w14:paraId="657FDC31" w14:textId="77777777" w:rsidR="00475502" w:rsidRPr="00775719" w:rsidRDefault="00475502" w:rsidP="00754DA1">
            <w:pPr>
              <w:spacing w:after="60"/>
              <w:rPr>
                <w:rFonts w:cs="Arial"/>
                <w:b/>
                <w:bCs/>
                <w:color w:val="FFFFFF" w:themeColor="background1"/>
                <w:sz w:val="18"/>
                <w:szCs w:val="18"/>
              </w:rPr>
            </w:pPr>
            <w:r w:rsidRPr="00775719">
              <w:rPr>
                <w:rFonts w:cs="Arial"/>
                <w:b/>
                <w:bCs/>
                <w:color w:val="FFFFFF" w:themeColor="background1"/>
                <w:sz w:val="18"/>
                <w:szCs w:val="18"/>
              </w:rPr>
              <w:t>Total</w:t>
            </w:r>
          </w:p>
        </w:tc>
      </w:tr>
      <w:tr w:rsidR="00723519" w:rsidRPr="00224AA8" w14:paraId="23A9A610" w14:textId="77777777" w:rsidTr="00754DA1">
        <w:tc>
          <w:tcPr>
            <w:tcW w:w="2041" w:type="dxa"/>
            <w:vAlign w:val="center"/>
          </w:tcPr>
          <w:p w14:paraId="2ED288BF" w14:textId="77777777" w:rsidR="00723519" w:rsidRPr="00775719" w:rsidRDefault="00723519" w:rsidP="00723519">
            <w:pPr>
              <w:spacing w:after="60"/>
              <w:rPr>
                <w:rFonts w:cstheme="minorBidi"/>
                <w:sz w:val="18"/>
                <w:szCs w:val="18"/>
              </w:rPr>
            </w:pPr>
            <w:r w:rsidRPr="00775719">
              <w:rPr>
                <w:rFonts w:cstheme="minorBidi"/>
                <w:sz w:val="18"/>
                <w:szCs w:val="18"/>
              </w:rPr>
              <w:t>I don’t wish to provide this information</w:t>
            </w:r>
          </w:p>
        </w:tc>
        <w:tc>
          <w:tcPr>
            <w:tcW w:w="721" w:type="dxa"/>
          </w:tcPr>
          <w:p w14:paraId="5DD4DAEE" w14:textId="6757A379"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20" w:type="dxa"/>
          </w:tcPr>
          <w:p w14:paraId="49DFCA9B" w14:textId="06E7FED7" w:rsidR="00723519" w:rsidRPr="00C34024" w:rsidRDefault="00723519" w:rsidP="00723519">
            <w:pPr>
              <w:spacing w:after="60"/>
              <w:jc w:val="right"/>
              <w:rPr>
                <w:rFonts w:cs="Arial"/>
                <w:sz w:val="18"/>
                <w:szCs w:val="18"/>
              </w:rPr>
            </w:pPr>
            <w:r w:rsidRPr="00C34024">
              <w:rPr>
                <w:rFonts w:cs="Arial"/>
                <w:color w:val="000000"/>
                <w:sz w:val="18"/>
                <w:szCs w:val="18"/>
              </w:rPr>
              <w:t>2</w:t>
            </w:r>
          </w:p>
        </w:tc>
        <w:tc>
          <w:tcPr>
            <w:tcW w:w="720" w:type="dxa"/>
          </w:tcPr>
          <w:p w14:paraId="296C7699" w14:textId="59FA5330"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20" w:type="dxa"/>
          </w:tcPr>
          <w:p w14:paraId="410EA0B3" w14:textId="4E9CAAE7"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20" w:type="dxa"/>
          </w:tcPr>
          <w:p w14:paraId="6937DA0D" w14:textId="3F115F19"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20" w:type="dxa"/>
          </w:tcPr>
          <w:p w14:paraId="1EB51B90" w14:textId="1F268310"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20" w:type="dxa"/>
          </w:tcPr>
          <w:p w14:paraId="24EF19F0" w14:textId="5328DFE9"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661" w:type="dxa"/>
          </w:tcPr>
          <w:p w14:paraId="03C2CFA1" w14:textId="6AEFB5DB" w:rsidR="00723519" w:rsidRPr="00C34024" w:rsidRDefault="00723519" w:rsidP="00723519">
            <w:pPr>
              <w:spacing w:after="60"/>
              <w:jc w:val="right"/>
              <w:rPr>
                <w:rFonts w:cs="Arial"/>
                <w:color w:val="000000"/>
                <w:sz w:val="18"/>
                <w:szCs w:val="18"/>
              </w:rPr>
            </w:pPr>
            <w:r w:rsidRPr="00C34024">
              <w:rPr>
                <w:rFonts w:cs="Arial"/>
                <w:color w:val="000000"/>
                <w:sz w:val="18"/>
                <w:szCs w:val="18"/>
              </w:rPr>
              <w:t>0</w:t>
            </w:r>
          </w:p>
        </w:tc>
        <w:tc>
          <w:tcPr>
            <w:tcW w:w="751" w:type="dxa"/>
          </w:tcPr>
          <w:p w14:paraId="63A3F2E2" w14:textId="3E5DFA9C" w:rsidR="00723519" w:rsidRPr="00C34024" w:rsidRDefault="00723519" w:rsidP="00723519">
            <w:pPr>
              <w:spacing w:after="60"/>
              <w:jc w:val="right"/>
              <w:rPr>
                <w:rFonts w:cs="Arial"/>
                <w:b/>
                <w:bCs/>
                <w:sz w:val="18"/>
                <w:szCs w:val="18"/>
              </w:rPr>
            </w:pPr>
            <w:r w:rsidRPr="00C34024">
              <w:rPr>
                <w:rFonts w:cs="Arial"/>
                <w:color w:val="000000"/>
                <w:sz w:val="18"/>
                <w:szCs w:val="18"/>
              </w:rPr>
              <w:t>2</w:t>
            </w:r>
          </w:p>
        </w:tc>
      </w:tr>
      <w:tr w:rsidR="00723519" w:rsidRPr="00224AA8" w14:paraId="371146A2" w14:textId="77777777" w:rsidTr="00754DA1">
        <w:tc>
          <w:tcPr>
            <w:tcW w:w="2041" w:type="dxa"/>
            <w:vAlign w:val="center"/>
          </w:tcPr>
          <w:p w14:paraId="3E54851C" w14:textId="77777777" w:rsidR="00723519" w:rsidRPr="00775719" w:rsidRDefault="00723519" w:rsidP="00723519">
            <w:pPr>
              <w:spacing w:after="60"/>
              <w:rPr>
                <w:rFonts w:cstheme="minorBidi"/>
                <w:sz w:val="18"/>
                <w:szCs w:val="18"/>
              </w:rPr>
            </w:pPr>
            <w:r w:rsidRPr="00775719">
              <w:rPr>
                <w:rFonts w:cstheme="minorBidi"/>
                <w:sz w:val="18"/>
                <w:szCs w:val="18"/>
              </w:rPr>
              <w:t>To budget</w:t>
            </w:r>
          </w:p>
        </w:tc>
        <w:tc>
          <w:tcPr>
            <w:tcW w:w="721" w:type="dxa"/>
          </w:tcPr>
          <w:p w14:paraId="4B836015" w14:textId="35D3BFB0"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720" w:type="dxa"/>
          </w:tcPr>
          <w:p w14:paraId="0A09E877" w14:textId="61050868" w:rsidR="00723519" w:rsidRPr="00C34024" w:rsidRDefault="00723519" w:rsidP="00723519">
            <w:pPr>
              <w:spacing w:after="60"/>
              <w:jc w:val="right"/>
              <w:rPr>
                <w:rFonts w:cs="Arial"/>
                <w:sz w:val="18"/>
                <w:szCs w:val="18"/>
              </w:rPr>
            </w:pPr>
            <w:r w:rsidRPr="00C34024">
              <w:rPr>
                <w:rFonts w:cs="Arial"/>
                <w:color w:val="000000"/>
                <w:sz w:val="18"/>
                <w:szCs w:val="18"/>
              </w:rPr>
              <w:t>22</w:t>
            </w:r>
          </w:p>
        </w:tc>
        <w:tc>
          <w:tcPr>
            <w:tcW w:w="720" w:type="dxa"/>
          </w:tcPr>
          <w:p w14:paraId="3927C0BF" w14:textId="0A7A8D2B" w:rsidR="00723519" w:rsidRPr="00C34024" w:rsidRDefault="00723519" w:rsidP="00723519">
            <w:pPr>
              <w:spacing w:after="60"/>
              <w:jc w:val="right"/>
              <w:rPr>
                <w:rFonts w:cs="Arial"/>
                <w:sz w:val="18"/>
                <w:szCs w:val="18"/>
              </w:rPr>
            </w:pPr>
            <w:r w:rsidRPr="00C34024">
              <w:rPr>
                <w:rFonts w:cs="Arial"/>
                <w:color w:val="000000"/>
                <w:sz w:val="18"/>
                <w:szCs w:val="18"/>
              </w:rPr>
              <w:t>8</w:t>
            </w:r>
          </w:p>
        </w:tc>
        <w:tc>
          <w:tcPr>
            <w:tcW w:w="720" w:type="dxa"/>
          </w:tcPr>
          <w:p w14:paraId="451A3CF9" w14:textId="2FBAD7EB" w:rsidR="00723519" w:rsidRPr="00C34024" w:rsidRDefault="00723519" w:rsidP="00723519">
            <w:pPr>
              <w:spacing w:after="60"/>
              <w:jc w:val="right"/>
              <w:rPr>
                <w:rFonts w:cs="Arial"/>
                <w:sz w:val="18"/>
                <w:szCs w:val="18"/>
              </w:rPr>
            </w:pPr>
            <w:r w:rsidRPr="00C34024">
              <w:rPr>
                <w:rFonts w:cs="Arial"/>
                <w:color w:val="000000"/>
                <w:sz w:val="18"/>
                <w:szCs w:val="18"/>
              </w:rPr>
              <w:t>11</w:t>
            </w:r>
          </w:p>
        </w:tc>
        <w:tc>
          <w:tcPr>
            <w:tcW w:w="720" w:type="dxa"/>
          </w:tcPr>
          <w:p w14:paraId="1AA1F147" w14:textId="713CC843" w:rsidR="00723519" w:rsidRPr="00C34024" w:rsidRDefault="00723519" w:rsidP="00723519">
            <w:pPr>
              <w:spacing w:after="60"/>
              <w:jc w:val="right"/>
              <w:rPr>
                <w:rFonts w:cs="Arial"/>
                <w:sz w:val="18"/>
                <w:szCs w:val="18"/>
              </w:rPr>
            </w:pPr>
            <w:r w:rsidRPr="00C34024">
              <w:rPr>
                <w:rFonts w:cs="Arial"/>
                <w:color w:val="000000"/>
                <w:sz w:val="18"/>
                <w:szCs w:val="18"/>
              </w:rPr>
              <w:t>8</w:t>
            </w:r>
          </w:p>
        </w:tc>
        <w:tc>
          <w:tcPr>
            <w:tcW w:w="720" w:type="dxa"/>
          </w:tcPr>
          <w:p w14:paraId="51B1FBF2" w14:textId="5B411424" w:rsidR="00723519" w:rsidRPr="00C34024" w:rsidRDefault="00723519" w:rsidP="00723519">
            <w:pPr>
              <w:spacing w:after="60"/>
              <w:jc w:val="right"/>
              <w:rPr>
                <w:rFonts w:cs="Arial"/>
                <w:sz w:val="18"/>
                <w:szCs w:val="18"/>
              </w:rPr>
            </w:pPr>
            <w:r w:rsidRPr="00C34024">
              <w:rPr>
                <w:rFonts w:cs="Arial"/>
                <w:color w:val="000000"/>
                <w:sz w:val="18"/>
                <w:szCs w:val="18"/>
              </w:rPr>
              <w:t>6</w:t>
            </w:r>
          </w:p>
        </w:tc>
        <w:tc>
          <w:tcPr>
            <w:tcW w:w="720" w:type="dxa"/>
          </w:tcPr>
          <w:p w14:paraId="341B53DF" w14:textId="447F5BEE" w:rsidR="00723519" w:rsidRPr="00C34024" w:rsidRDefault="00723519" w:rsidP="00723519">
            <w:pPr>
              <w:spacing w:after="60"/>
              <w:jc w:val="right"/>
              <w:rPr>
                <w:rFonts w:cs="Arial"/>
                <w:sz w:val="18"/>
                <w:szCs w:val="18"/>
              </w:rPr>
            </w:pPr>
            <w:r w:rsidRPr="00C34024">
              <w:rPr>
                <w:rFonts w:cs="Arial"/>
                <w:color w:val="000000"/>
                <w:sz w:val="18"/>
                <w:szCs w:val="18"/>
              </w:rPr>
              <w:t>2</w:t>
            </w:r>
          </w:p>
        </w:tc>
        <w:tc>
          <w:tcPr>
            <w:tcW w:w="661" w:type="dxa"/>
          </w:tcPr>
          <w:p w14:paraId="176D6D81" w14:textId="62F39D57" w:rsidR="00723519" w:rsidRPr="00C34024" w:rsidRDefault="00723519" w:rsidP="00723519">
            <w:pPr>
              <w:spacing w:after="60"/>
              <w:jc w:val="right"/>
              <w:rPr>
                <w:rFonts w:cs="Arial"/>
                <w:color w:val="000000"/>
                <w:sz w:val="18"/>
                <w:szCs w:val="18"/>
              </w:rPr>
            </w:pPr>
            <w:r w:rsidRPr="00C34024">
              <w:rPr>
                <w:rFonts w:cs="Arial"/>
                <w:color w:val="000000"/>
                <w:sz w:val="18"/>
                <w:szCs w:val="18"/>
              </w:rPr>
              <w:t>0</w:t>
            </w:r>
          </w:p>
        </w:tc>
        <w:tc>
          <w:tcPr>
            <w:tcW w:w="751" w:type="dxa"/>
          </w:tcPr>
          <w:p w14:paraId="5C0E9905" w14:textId="7DC21C6A" w:rsidR="00723519" w:rsidRPr="00C34024" w:rsidRDefault="00723519" w:rsidP="00723519">
            <w:pPr>
              <w:spacing w:after="60"/>
              <w:jc w:val="right"/>
              <w:rPr>
                <w:rFonts w:cs="Arial"/>
                <w:b/>
                <w:bCs/>
                <w:sz w:val="18"/>
                <w:szCs w:val="18"/>
              </w:rPr>
            </w:pPr>
            <w:r w:rsidRPr="00C34024">
              <w:rPr>
                <w:rFonts w:cs="Arial"/>
                <w:color w:val="000000"/>
                <w:sz w:val="18"/>
                <w:szCs w:val="18"/>
              </w:rPr>
              <w:t>58</w:t>
            </w:r>
          </w:p>
        </w:tc>
      </w:tr>
      <w:tr w:rsidR="00723519" w:rsidRPr="00224AA8" w14:paraId="1E482F3C" w14:textId="77777777" w:rsidTr="00754DA1">
        <w:tc>
          <w:tcPr>
            <w:tcW w:w="2041" w:type="dxa"/>
            <w:vAlign w:val="center"/>
          </w:tcPr>
          <w:p w14:paraId="2CCF8B52" w14:textId="77777777" w:rsidR="00723519" w:rsidRPr="00775719" w:rsidRDefault="00723519" w:rsidP="00723519">
            <w:pPr>
              <w:spacing w:after="60"/>
              <w:rPr>
                <w:rFonts w:cstheme="minorBidi"/>
                <w:sz w:val="18"/>
                <w:szCs w:val="18"/>
              </w:rPr>
            </w:pPr>
            <w:r w:rsidRPr="00775719">
              <w:rPr>
                <w:rFonts w:cstheme="minorBidi"/>
                <w:sz w:val="18"/>
                <w:szCs w:val="18"/>
              </w:rPr>
              <w:t>To buy food</w:t>
            </w:r>
          </w:p>
        </w:tc>
        <w:tc>
          <w:tcPr>
            <w:tcW w:w="721" w:type="dxa"/>
          </w:tcPr>
          <w:p w14:paraId="312093CB" w14:textId="2D859675" w:rsidR="00723519" w:rsidRPr="00C34024" w:rsidRDefault="00723519" w:rsidP="00723519">
            <w:pPr>
              <w:spacing w:after="60"/>
              <w:jc w:val="right"/>
              <w:rPr>
                <w:rFonts w:cs="Arial"/>
                <w:sz w:val="18"/>
                <w:szCs w:val="18"/>
              </w:rPr>
            </w:pPr>
            <w:r w:rsidRPr="00C34024">
              <w:rPr>
                <w:rFonts w:cs="Arial"/>
                <w:color w:val="000000"/>
                <w:sz w:val="18"/>
                <w:szCs w:val="18"/>
              </w:rPr>
              <w:t>4</w:t>
            </w:r>
          </w:p>
        </w:tc>
        <w:tc>
          <w:tcPr>
            <w:tcW w:w="720" w:type="dxa"/>
          </w:tcPr>
          <w:p w14:paraId="49D2A5C4" w14:textId="3AA1B792" w:rsidR="00723519" w:rsidRPr="00C34024" w:rsidRDefault="00723519" w:rsidP="00723519">
            <w:pPr>
              <w:spacing w:after="60"/>
              <w:jc w:val="right"/>
              <w:rPr>
                <w:rFonts w:cs="Arial"/>
                <w:sz w:val="18"/>
                <w:szCs w:val="18"/>
              </w:rPr>
            </w:pPr>
            <w:r w:rsidRPr="00C34024">
              <w:rPr>
                <w:rFonts w:cs="Arial"/>
                <w:color w:val="000000"/>
                <w:sz w:val="18"/>
                <w:szCs w:val="18"/>
              </w:rPr>
              <w:t>19</w:t>
            </w:r>
          </w:p>
        </w:tc>
        <w:tc>
          <w:tcPr>
            <w:tcW w:w="720" w:type="dxa"/>
          </w:tcPr>
          <w:p w14:paraId="312E33EF" w14:textId="133F98A4" w:rsidR="00723519" w:rsidRPr="00C34024" w:rsidRDefault="00723519" w:rsidP="00723519">
            <w:pPr>
              <w:spacing w:after="60"/>
              <w:jc w:val="right"/>
              <w:rPr>
                <w:rFonts w:cs="Arial"/>
                <w:sz w:val="18"/>
                <w:szCs w:val="18"/>
              </w:rPr>
            </w:pPr>
            <w:r w:rsidRPr="00C34024">
              <w:rPr>
                <w:rFonts w:cs="Arial"/>
                <w:color w:val="000000"/>
                <w:sz w:val="18"/>
                <w:szCs w:val="18"/>
              </w:rPr>
              <w:t>14</w:t>
            </w:r>
          </w:p>
        </w:tc>
        <w:tc>
          <w:tcPr>
            <w:tcW w:w="720" w:type="dxa"/>
          </w:tcPr>
          <w:p w14:paraId="548B2899" w14:textId="772A9AB0" w:rsidR="00723519" w:rsidRPr="00C34024" w:rsidRDefault="00723519" w:rsidP="00723519">
            <w:pPr>
              <w:spacing w:after="60"/>
              <w:jc w:val="right"/>
              <w:rPr>
                <w:rFonts w:cs="Arial"/>
                <w:sz w:val="18"/>
                <w:szCs w:val="18"/>
              </w:rPr>
            </w:pPr>
            <w:r w:rsidRPr="00C34024">
              <w:rPr>
                <w:rFonts w:cs="Arial"/>
                <w:color w:val="000000"/>
                <w:sz w:val="18"/>
                <w:szCs w:val="18"/>
              </w:rPr>
              <w:t>8</w:t>
            </w:r>
          </w:p>
        </w:tc>
        <w:tc>
          <w:tcPr>
            <w:tcW w:w="720" w:type="dxa"/>
          </w:tcPr>
          <w:p w14:paraId="79A14813" w14:textId="393852AC" w:rsidR="00723519" w:rsidRPr="00C34024" w:rsidRDefault="00723519" w:rsidP="00723519">
            <w:pPr>
              <w:spacing w:after="60"/>
              <w:jc w:val="right"/>
              <w:rPr>
                <w:rFonts w:cs="Arial"/>
                <w:sz w:val="18"/>
                <w:szCs w:val="18"/>
              </w:rPr>
            </w:pPr>
            <w:r w:rsidRPr="00C34024">
              <w:rPr>
                <w:rFonts w:cs="Arial"/>
                <w:color w:val="000000"/>
                <w:sz w:val="18"/>
                <w:szCs w:val="18"/>
              </w:rPr>
              <w:t>10</w:t>
            </w:r>
          </w:p>
        </w:tc>
        <w:tc>
          <w:tcPr>
            <w:tcW w:w="720" w:type="dxa"/>
          </w:tcPr>
          <w:p w14:paraId="3B570095" w14:textId="639B2436" w:rsidR="00723519" w:rsidRPr="00C34024" w:rsidRDefault="00723519" w:rsidP="00723519">
            <w:pPr>
              <w:spacing w:after="60"/>
              <w:jc w:val="right"/>
              <w:rPr>
                <w:rFonts w:cs="Arial"/>
                <w:sz w:val="18"/>
                <w:szCs w:val="18"/>
              </w:rPr>
            </w:pPr>
            <w:r w:rsidRPr="00C34024">
              <w:rPr>
                <w:rFonts w:cs="Arial"/>
                <w:color w:val="000000"/>
                <w:sz w:val="18"/>
                <w:szCs w:val="18"/>
              </w:rPr>
              <w:t>7</w:t>
            </w:r>
          </w:p>
        </w:tc>
        <w:tc>
          <w:tcPr>
            <w:tcW w:w="720" w:type="dxa"/>
          </w:tcPr>
          <w:p w14:paraId="13BE1B64" w14:textId="29AC369D" w:rsidR="00723519" w:rsidRPr="00C34024" w:rsidRDefault="00723519" w:rsidP="00723519">
            <w:pPr>
              <w:spacing w:after="60"/>
              <w:jc w:val="right"/>
              <w:rPr>
                <w:rFonts w:cs="Arial"/>
                <w:sz w:val="18"/>
                <w:szCs w:val="18"/>
              </w:rPr>
            </w:pPr>
            <w:r w:rsidRPr="00C34024">
              <w:rPr>
                <w:rFonts w:cs="Arial"/>
                <w:color w:val="000000"/>
                <w:sz w:val="18"/>
                <w:szCs w:val="18"/>
              </w:rPr>
              <w:t>3</w:t>
            </w:r>
          </w:p>
        </w:tc>
        <w:tc>
          <w:tcPr>
            <w:tcW w:w="661" w:type="dxa"/>
          </w:tcPr>
          <w:p w14:paraId="7F2D74D6" w14:textId="03328F21" w:rsidR="00723519" w:rsidRPr="00C34024" w:rsidRDefault="00723519" w:rsidP="00723519">
            <w:pPr>
              <w:spacing w:after="60"/>
              <w:jc w:val="right"/>
              <w:rPr>
                <w:rFonts w:cs="Arial"/>
                <w:color w:val="000000"/>
                <w:sz w:val="18"/>
                <w:szCs w:val="18"/>
              </w:rPr>
            </w:pPr>
            <w:r w:rsidRPr="00C34024">
              <w:rPr>
                <w:rFonts w:cs="Arial"/>
                <w:color w:val="000000"/>
                <w:sz w:val="18"/>
                <w:szCs w:val="18"/>
              </w:rPr>
              <w:t>0</w:t>
            </w:r>
          </w:p>
        </w:tc>
        <w:tc>
          <w:tcPr>
            <w:tcW w:w="751" w:type="dxa"/>
          </w:tcPr>
          <w:p w14:paraId="0DE827B6" w14:textId="16817C73" w:rsidR="00723519" w:rsidRPr="00C34024" w:rsidRDefault="00723519" w:rsidP="00723519">
            <w:pPr>
              <w:spacing w:after="60"/>
              <w:jc w:val="right"/>
              <w:rPr>
                <w:rFonts w:cs="Arial"/>
                <w:b/>
                <w:bCs/>
                <w:sz w:val="18"/>
                <w:szCs w:val="18"/>
              </w:rPr>
            </w:pPr>
            <w:r w:rsidRPr="00C34024">
              <w:rPr>
                <w:rFonts w:cs="Arial"/>
                <w:color w:val="000000"/>
                <w:sz w:val="18"/>
                <w:szCs w:val="18"/>
              </w:rPr>
              <w:t>65</w:t>
            </w:r>
          </w:p>
        </w:tc>
      </w:tr>
      <w:tr w:rsidR="00723519" w:rsidRPr="00224AA8" w14:paraId="2E51CC71" w14:textId="77777777" w:rsidTr="00754DA1">
        <w:tc>
          <w:tcPr>
            <w:tcW w:w="2041" w:type="dxa"/>
            <w:vAlign w:val="center"/>
          </w:tcPr>
          <w:p w14:paraId="5248DA87" w14:textId="77777777" w:rsidR="00723519" w:rsidRPr="00775719" w:rsidRDefault="00723519" w:rsidP="00723519">
            <w:pPr>
              <w:spacing w:after="60"/>
              <w:rPr>
                <w:rFonts w:cstheme="minorBidi"/>
                <w:sz w:val="18"/>
                <w:szCs w:val="18"/>
              </w:rPr>
            </w:pPr>
            <w:r w:rsidRPr="00775719">
              <w:rPr>
                <w:rFonts w:cstheme="minorBidi"/>
                <w:sz w:val="18"/>
                <w:szCs w:val="18"/>
              </w:rPr>
              <w:t>To pay for bills (rent, electricity, fines)</w:t>
            </w:r>
          </w:p>
        </w:tc>
        <w:tc>
          <w:tcPr>
            <w:tcW w:w="721" w:type="dxa"/>
          </w:tcPr>
          <w:p w14:paraId="4FF43CB1" w14:textId="31CB9A13" w:rsidR="00723519" w:rsidRPr="00C34024" w:rsidRDefault="00723519" w:rsidP="00723519">
            <w:pPr>
              <w:spacing w:after="60"/>
              <w:jc w:val="right"/>
              <w:rPr>
                <w:rFonts w:cs="Arial"/>
                <w:sz w:val="18"/>
                <w:szCs w:val="18"/>
              </w:rPr>
            </w:pPr>
            <w:r w:rsidRPr="00C34024">
              <w:rPr>
                <w:rFonts w:cs="Arial"/>
                <w:color w:val="000000"/>
                <w:sz w:val="18"/>
                <w:szCs w:val="18"/>
              </w:rPr>
              <w:t>3</w:t>
            </w:r>
          </w:p>
        </w:tc>
        <w:tc>
          <w:tcPr>
            <w:tcW w:w="720" w:type="dxa"/>
          </w:tcPr>
          <w:p w14:paraId="67C92F5C" w14:textId="1352B026" w:rsidR="00723519" w:rsidRPr="00C34024" w:rsidRDefault="00723519" w:rsidP="00723519">
            <w:pPr>
              <w:spacing w:after="60"/>
              <w:jc w:val="right"/>
              <w:rPr>
                <w:rFonts w:cs="Arial"/>
                <w:sz w:val="18"/>
                <w:szCs w:val="18"/>
              </w:rPr>
            </w:pPr>
            <w:r w:rsidRPr="00C34024">
              <w:rPr>
                <w:rFonts w:cs="Arial"/>
                <w:color w:val="000000"/>
                <w:sz w:val="18"/>
                <w:szCs w:val="18"/>
              </w:rPr>
              <w:t>14</w:t>
            </w:r>
          </w:p>
        </w:tc>
        <w:tc>
          <w:tcPr>
            <w:tcW w:w="720" w:type="dxa"/>
          </w:tcPr>
          <w:p w14:paraId="2C2ACD31" w14:textId="356C6823" w:rsidR="00723519" w:rsidRPr="00C34024" w:rsidRDefault="00723519" w:rsidP="00723519">
            <w:pPr>
              <w:spacing w:after="60"/>
              <w:jc w:val="right"/>
              <w:rPr>
                <w:rFonts w:cs="Arial"/>
                <w:sz w:val="18"/>
                <w:szCs w:val="18"/>
              </w:rPr>
            </w:pPr>
            <w:r w:rsidRPr="00C34024">
              <w:rPr>
                <w:rFonts w:cs="Arial"/>
                <w:color w:val="000000"/>
                <w:sz w:val="18"/>
                <w:szCs w:val="18"/>
              </w:rPr>
              <w:t>9</w:t>
            </w:r>
          </w:p>
        </w:tc>
        <w:tc>
          <w:tcPr>
            <w:tcW w:w="720" w:type="dxa"/>
          </w:tcPr>
          <w:p w14:paraId="010E9271" w14:textId="32054673" w:rsidR="00723519" w:rsidRPr="00C34024" w:rsidRDefault="00723519" w:rsidP="00723519">
            <w:pPr>
              <w:spacing w:after="60"/>
              <w:jc w:val="right"/>
              <w:rPr>
                <w:rFonts w:cs="Arial"/>
                <w:sz w:val="18"/>
                <w:szCs w:val="18"/>
              </w:rPr>
            </w:pPr>
            <w:r w:rsidRPr="00C34024">
              <w:rPr>
                <w:rFonts w:cs="Arial"/>
                <w:color w:val="000000"/>
                <w:sz w:val="18"/>
                <w:szCs w:val="18"/>
              </w:rPr>
              <w:t>8</w:t>
            </w:r>
          </w:p>
        </w:tc>
        <w:tc>
          <w:tcPr>
            <w:tcW w:w="720" w:type="dxa"/>
          </w:tcPr>
          <w:p w14:paraId="2714B106" w14:textId="50B199B1" w:rsidR="00723519" w:rsidRPr="00C34024" w:rsidRDefault="00723519" w:rsidP="00723519">
            <w:pPr>
              <w:spacing w:after="60"/>
              <w:jc w:val="right"/>
              <w:rPr>
                <w:rFonts w:cs="Arial"/>
                <w:sz w:val="18"/>
                <w:szCs w:val="18"/>
              </w:rPr>
            </w:pPr>
            <w:r w:rsidRPr="00C34024">
              <w:rPr>
                <w:rFonts w:cs="Arial"/>
                <w:color w:val="000000"/>
                <w:sz w:val="18"/>
                <w:szCs w:val="18"/>
              </w:rPr>
              <w:t>7</w:t>
            </w:r>
          </w:p>
        </w:tc>
        <w:tc>
          <w:tcPr>
            <w:tcW w:w="720" w:type="dxa"/>
          </w:tcPr>
          <w:p w14:paraId="5FD800F4" w14:textId="71007802" w:rsidR="00723519" w:rsidRPr="00C34024" w:rsidRDefault="00723519" w:rsidP="00723519">
            <w:pPr>
              <w:spacing w:after="60"/>
              <w:jc w:val="right"/>
              <w:rPr>
                <w:rFonts w:cs="Arial"/>
                <w:sz w:val="18"/>
                <w:szCs w:val="18"/>
              </w:rPr>
            </w:pPr>
            <w:r w:rsidRPr="00C34024">
              <w:rPr>
                <w:rFonts w:cs="Arial"/>
                <w:color w:val="000000"/>
                <w:sz w:val="18"/>
                <w:szCs w:val="18"/>
              </w:rPr>
              <w:t>4</w:t>
            </w:r>
          </w:p>
        </w:tc>
        <w:tc>
          <w:tcPr>
            <w:tcW w:w="720" w:type="dxa"/>
          </w:tcPr>
          <w:p w14:paraId="7CA98ACF" w14:textId="7DAE84F8" w:rsidR="00723519" w:rsidRPr="00C34024" w:rsidRDefault="00723519" w:rsidP="00723519">
            <w:pPr>
              <w:spacing w:after="60"/>
              <w:jc w:val="right"/>
              <w:rPr>
                <w:rFonts w:cs="Arial"/>
                <w:sz w:val="18"/>
                <w:szCs w:val="18"/>
              </w:rPr>
            </w:pPr>
            <w:r w:rsidRPr="00C34024">
              <w:rPr>
                <w:rFonts w:cs="Arial"/>
                <w:color w:val="000000"/>
                <w:sz w:val="18"/>
                <w:szCs w:val="18"/>
              </w:rPr>
              <w:t>3</w:t>
            </w:r>
          </w:p>
        </w:tc>
        <w:tc>
          <w:tcPr>
            <w:tcW w:w="661" w:type="dxa"/>
          </w:tcPr>
          <w:p w14:paraId="0F3F1A98" w14:textId="70043B8F" w:rsidR="00723519" w:rsidRPr="00C34024" w:rsidRDefault="00723519" w:rsidP="00723519">
            <w:pPr>
              <w:spacing w:after="60"/>
              <w:jc w:val="right"/>
              <w:rPr>
                <w:rFonts w:cs="Arial"/>
                <w:color w:val="000000"/>
                <w:sz w:val="18"/>
                <w:szCs w:val="18"/>
              </w:rPr>
            </w:pPr>
            <w:r w:rsidRPr="00C34024">
              <w:rPr>
                <w:rFonts w:cs="Arial"/>
                <w:color w:val="000000"/>
                <w:sz w:val="18"/>
                <w:szCs w:val="18"/>
              </w:rPr>
              <w:t>0</w:t>
            </w:r>
          </w:p>
        </w:tc>
        <w:tc>
          <w:tcPr>
            <w:tcW w:w="751" w:type="dxa"/>
          </w:tcPr>
          <w:p w14:paraId="02EBE235" w14:textId="27ADB6D1" w:rsidR="00723519" w:rsidRPr="00C34024" w:rsidRDefault="00723519" w:rsidP="00723519">
            <w:pPr>
              <w:spacing w:after="60"/>
              <w:jc w:val="right"/>
              <w:rPr>
                <w:rFonts w:cs="Arial"/>
                <w:b/>
                <w:bCs/>
                <w:sz w:val="18"/>
                <w:szCs w:val="18"/>
              </w:rPr>
            </w:pPr>
            <w:r w:rsidRPr="00C34024">
              <w:rPr>
                <w:rFonts w:cs="Arial"/>
                <w:color w:val="000000"/>
                <w:sz w:val="18"/>
                <w:szCs w:val="18"/>
              </w:rPr>
              <w:t>48</w:t>
            </w:r>
          </w:p>
        </w:tc>
      </w:tr>
      <w:tr w:rsidR="00723519" w:rsidRPr="00224AA8" w14:paraId="249B6C8C" w14:textId="77777777" w:rsidTr="00754DA1">
        <w:tc>
          <w:tcPr>
            <w:tcW w:w="2041" w:type="dxa"/>
            <w:vAlign w:val="center"/>
          </w:tcPr>
          <w:p w14:paraId="131CE5F2" w14:textId="77777777" w:rsidR="00723519" w:rsidRPr="00775719" w:rsidRDefault="00723519" w:rsidP="00723519">
            <w:pPr>
              <w:spacing w:after="60"/>
              <w:rPr>
                <w:rFonts w:cstheme="minorBidi"/>
                <w:sz w:val="18"/>
                <w:szCs w:val="18"/>
              </w:rPr>
            </w:pPr>
            <w:r w:rsidRPr="00775719">
              <w:rPr>
                <w:rFonts w:cstheme="minorBidi"/>
                <w:sz w:val="18"/>
                <w:szCs w:val="18"/>
              </w:rPr>
              <w:t>To protect my payments</w:t>
            </w:r>
          </w:p>
        </w:tc>
        <w:tc>
          <w:tcPr>
            <w:tcW w:w="721" w:type="dxa"/>
          </w:tcPr>
          <w:p w14:paraId="56AE25B1" w14:textId="343AF0D9" w:rsidR="00723519" w:rsidRPr="00C34024" w:rsidRDefault="00723519" w:rsidP="00723519">
            <w:pPr>
              <w:spacing w:after="60"/>
              <w:jc w:val="right"/>
              <w:rPr>
                <w:rFonts w:cs="Arial"/>
                <w:sz w:val="18"/>
                <w:szCs w:val="18"/>
              </w:rPr>
            </w:pPr>
            <w:r w:rsidRPr="00C34024">
              <w:rPr>
                <w:rFonts w:cs="Arial"/>
                <w:color w:val="000000"/>
                <w:sz w:val="18"/>
                <w:szCs w:val="18"/>
              </w:rPr>
              <w:t>2</w:t>
            </w:r>
          </w:p>
        </w:tc>
        <w:tc>
          <w:tcPr>
            <w:tcW w:w="720" w:type="dxa"/>
          </w:tcPr>
          <w:p w14:paraId="71E8DAA7" w14:textId="4BE3EFF7" w:rsidR="00723519" w:rsidRPr="00C34024" w:rsidRDefault="00723519" w:rsidP="00723519">
            <w:pPr>
              <w:spacing w:after="60"/>
              <w:jc w:val="right"/>
              <w:rPr>
                <w:rFonts w:cs="Arial"/>
                <w:sz w:val="18"/>
                <w:szCs w:val="18"/>
              </w:rPr>
            </w:pPr>
            <w:r w:rsidRPr="00C34024">
              <w:rPr>
                <w:rFonts w:cs="Arial"/>
                <w:color w:val="000000"/>
                <w:sz w:val="18"/>
                <w:szCs w:val="18"/>
              </w:rPr>
              <w:t>3</w:t>
            </w:r>
          </w:p>
        </w:tc>
        <w:tc>
          <w:tcPr>
            <w:tcW w:w="720" w:type="dxa"/>
          </w:tcPr>
          <w:p w14:paraId="0D193354" w14:textId="144C0220" w:rsidR="00723519" w:rsidRPr="00C34024" w:rsidRDefault="00723519" w:rsidP="00723519">
            <w:pPr>
              <w:spacing w:after="60"/>
              <w:jc w:val="right"/>
              <w:rPr>
                <w:rFonts w:cs="Arial"/>
                <w:sz w:val="18"/>
                <w:szCs w:val="18"/>
              </w:rPr>
            </w:pPr>
            <w:r w:rsidRPr="00C34024">
              <w:rPr>
                <w:rFonts w:cs="Arial"/>
                <w:color w:val="000000"/>
                <w:sz w:val="18"/>
                <w:szCs w:val="18"/>
              </w:rPr>
              <w:t>3</w:t>
            </w:r>
          </w:p>
        </w:tc>
        <w:tc>
          <w:tcPr>
            <w:tcW w:w="720" w:type="dxa"/>
          </w:tcPr>
          <w:p w14:paraId="1AD2DE55" w14:textId="13F4C88E"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20" w:type="dxa"/>
          </w:tcPr>
          <w:p w14:paraId="26A81AED" w14:textId="1E067D07" w:rsidR="00723519" w:rsidRPr="00C34024" w:rsidRDefault="00723519" w:rsidP="00723519">
            <w:pPr>
              <w:spacing w:after="60"/>
              <w:jc w:val="right"/>
              <w:rPr>
                <w:rFonts w:cs="Arial"/>
                <w:sz w:val="18"/>
                <w:szCs w:val="18"/>
              </w:rPr>
            </w:pPr>
            <w:r w:rsidRPr="00C34024">
              <w:rPr>
                <w:rFonts w:cs="Arial"/>
                <w:color w:val="000000"/>
                <w:sz w:val="18"/>
                <w:szCs w:val="18"/>
              </w:rPr>
              <w:t>5</w:t>
            </w:r>
          </w:p>
        </w:tc>
        <w:tc>
          <w:tcPr>
            <w:tcW w:w="720" w:type="dxa"/>
          </w:tcPr>
          <w:p w14:paraId="1A1DCAD8" w14:textId="1CB9364A" w:rsidR="00723519" w:rsidRPr="00C34024" w:rsidRDefault="00723519" w:rsidP="00723519">
            <w:pPr>
              <w:spacing w:after="60"/>
              <w:jc w:val="right"/>
              <w:rPr>
                <w:rFonts w:cs="Arial"/>
                <w:sz w:val="18"/>
                <w:szCs w:val="18"/>
              </w:rPr>
            </w:pPr>
            <w:r w:rsidRPr="00C34024">
              <w:rPr>
                <w:rFonts w:cs="Arial"/>
                <w:color w:val="000000"/>
                <w:sz w:val="18"/>
                <w:szCs w:val="18"/>
              </w:rPr>
              <w:t>5</w:t>
            </w:r>
          </w:p>
        </w:tc>
        <w:tc>
          <w:tcPr>
            <w:tcW w:w="720" w:type="dxa"/>
          </w:tcPr>
          <w:p w14:paraId="03FB84A8" w14:textId="1068D30F" w:rsidR="00723519" w:rsidRPr="00C34024" w:rsidRDefault="00723519" w:rsidP="00723519">
            <w:pPr>
              <w:spacing w:after="60"/>
              <w:jc w:val="right"/>
              <w:rPr>
                <w:rFonts w:cs="Arial"/>
                <w:sz w:val="18"/>
                <w:szCs w:val="18"/>
              </w:rPr>
            </w:pPr>
            <w:r w:rsidRPr="00C34024">
              <w:rPr>
                <w:rFonts w:cs="Arial"/>
                <w:color w:val="000000"/>
                <w:sz w:val="18"/>
                <w:szCs w:val="18"/>
              </w:rPr>
              <w:t>2</w:t>
            </w:r>
          </w:p>
        </w:tc>
        <w:tc>
          <w:tcPr>
            <w:tcW w:w="661" w:type="dxa"/>
          </w:tcPr>
          <w:p w14:paraId="631CDFBF" w14:textId="5E75FE8A" w:rsidR="00723519" w:rsidRPr="00C34024" w:rsidRDefault="00723519" w:rsidP="00723519">
            <w:pPr>
              <w:spacing w:after="60"/>
              <w:jc w:val="right"/>
              <w:rPr>
                <w:rFonts w:cs="Arial"/>
                <w:color w:val="000000"/>
                <w:sz w:val="18"/>
                <w:szCs w:val="18"/>
              </w:rPr>
            </w:pPr>
            <w:r w:rsidRPr="00C34024">
              <w:rPr>
                <w:rFonts w:cs="Arial"/>
                <w:color w:val="000000"/>
                <w:sz w:val="18"/>
                <w:szCs w:val="18"/>
              </w:rPr>
              <w:t>1</w:t>
            </w:r>
          </w:p>
        </w:tc>
        <w:tc>
          <w:tcPr>
            <w:tcW w:w="751" w:type="dxa"/>
          </w:tcPr>
          <w:p w14:paraId="65C07D7F" w14:textId="3B048A93" w:rsidR="00723519" w:rsidRPr="00C34024" w:rsidRDefault="00723519" w:rsidP="00723519">
            <w:pPr>
              <w:spacing w:after="60"/>
              <w:jc w:val="right"/>
              <w:rPr>
                <w:rFonts w:cs="Arial"/>
                <w:b/>
                <w:bCs/>
                <w:sz w:val="18"/>
                <w:szCs w:val="18"/>
              </w:rPr>
            </w:pPr>
            <w:r w:rsidRPr="00C34024">
              <w:rPr>
                <w:rFonts w:cs="Arial"/>
                <w:color w:val="000000"/>
                <w:sz w:val="18"/>
                <w:szCs w:val="18"/>
              </w:rPr>
              <w:t>21</w:t>
            </w:r>
          </w:p>
        </w:tc>
      </w:tr>
      <w:tr w:rsidR="00723519" w:rsidRPr="00224AA8" w14:paraId="79091B9E" w14:textId="77777777" w:rsidTr="00754DA1">
        <w:tc>
          <w:tcPr>
            <w:tcW w:w="2041" w:type="dxa"/>
            <w:vAlign w:val="center"/>
          </w:tcPr>
          <w:p w14:paraId="799FF08D" w14:textId="77777777" w:rsidR="00723519" w:rsidRPr="00775719" w:rsidRDefault="00723519" w:rsidP="00723519">
            <w:pPr>
              <w:spacing w:after="60"/>
              <w:rPr>
                <w:rFonts w:cstheme="minorBidi"/>
                <w:sz w:val="18"/>
                <w:szCs w:val="18"/>
              </w:rPr>
            </w:pPr>
            <w:r w:rsidRPr="00775719">
              <w:rPr>
                <w:rFonts w:cstheme="minorBidi"/>
                <w:sz w:val="18"/>
                <w:szCs w:val="18"/>
              </w:rPr>
              <w:t>To save for something I need</w:t>
            </w:r>
          </w:p>
        </w:tc>
        <w:tc>
          <w:tcPr>
            <w:tcW w:w="721" w:type="dxa"/>
          </w:tcPr>
          <w:p w14:paraId="07DC4C2F" w14:textId="4BFEA329"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720" w:type="dxa"/>
          </w:tcPr>
          <w:p w14:paraId="29635D66" w14:textId="071F94F5" w:rsidR="00723519" w:rsidRPr="00C34024" w:rsidRDefault="00723519" w:rsidP="00723519">
            <w:pPr>
              <w:spacing w:after="60"/>
              <w:jc w:val="right"/>
              <w:rPr>
                <w:rFonts w:cs="Arial"/>
                <w:sz w:val="18"/>
                <w:szCs w:val="18"/>
              </w:rPr>
            </w:pPr>
            <w:r w:rsidRPr="00C34024">
              <w:rPr>
                <w:rFonts w:cs="Arial"/>
                <w:color w:val="000000"/>
                <w:sz w:val="18"/>
                <w:szCs w:val="18"/>
              </w:rPr>
              <w:t>13</w:t>
            </w:r>
          </w:p>
        </w:tc>
        <w:tc>
          <w:tcPr>
            <w:tcW w:w="720" w:type="dxa"/>
          </w:tcPr>
          <w:p w14:paraId="6402DFFA" w14:textId="274DFCCC" w:rsidR="00723519" w:rsidRPr="00C34024" w:rsidRDefault="00723519" w:rsidP="00723519">
            <w:pPr>
              <w:spacing w:after="60"/>
              <w:jc w:val="right"/>
              <w:rPr>
                <w:rFonts w:cs="Arial"/>
                <w:sz w:val="18"/>
                <w:szCs w:val="18"/>
              </w:rPr>
            </w:pPr>
            <w:r w:rsidRPr="00C34024">
              <w:rPr>
                <w:rFonts w:cs="Arial"/>
                <w:color w:val="000000"/>
                <w:sz w:val="18"/>
                <w:szCs w:val="18"/>
              </w:rPr>
              <w:t>11</w:t>
            </w:r>
          </w:p>
        </w:tc>
        <w:tc>
          <w:tcPr>
            <w:tcW w:w="720" w:type="dxa"/>
          </w:tcPr>
          <w:p w14:paraId="5D57766D" w14:textId="5CD87133" w:rsidR="00723519" w:rsidRPr="00C34024" w:rsidRDefault="00723519" w:rsidP="00723519">
            <w:pPr>
              <w:spacing w:after="60"/>
              <w:jc w:val="right"/>
              <w:rPr>
                <w:rFonts w:cs="Arial"/>
                <w:sz w:val="18"/>
                <w:szCs w:val="18"/>
              </w:rPr>
            </w:pPr>
            <w:r w:rsidRPr="00C34024">
              <w:rPr>
                <w:rFonts w:cs="Arial"/>
                <w:color w:val="000000"/>
                <w:sz w:val="18"/>
                <w:szCs w:val="18"/>
              </w:rPr>
              <w:t>9</w:t>
            </w:r>
          </w:p>
        </w:tc>
        <w:tc>
          <w:tcPr>
            <w:tcW w:w="720" w:type="dxa"/>
          </w:tcPr>
          <w:p w14:paraId="7F67100E" w14:textId="0133320F" w:rsidR="00723519" w:rsidRPr="00C34024" w:rsidRDefault="00723519" w:rsidP="00723519">
            <w:pPr>
              <w:spacing w:after="60"/>
              <w:jc w:val="right"/>
              <w:rPr>
                <w:rFonts w:cs="Arial"/>
                <w:sz w:val="18"/>
                <w:szCs w:val="18"/>
              </w:rPr>
            </w:pPr>
            <w:r w:rsidRPr="00C34024">
              <w:rPr>
                <w:rFonts w:cs="Arial"/>
                <w:color w:val="000000"/>
                <w:sz w:val="18"/>
                <w:szCs w:val="18"/>
              </w:rPr>
              <w:t>6</w:t>
            </w:r>
          </w:p>
        </w:tc>
        <w:tc>
          <w:tcPr>
            <w:tcW w:w="720" w:type="dxa"/>
          </w:tcPr>
          <w:p w14:paraId="2FDFEED6" w14:textId="3397F6E9" w:rsidR="00723519" w:rsidRPr="00C34024" w:rsidRDefault="00723519" w:rsidP="00723519">
            <w:pPr>
              <w:spacing w:after="60"/>
              <w:jc w:val="right"/>
              <w:rPr>
                <w:rFonts w:cs="Arial"/>
                <w:sz w:val="18"/>
                <w:szCs w:val="18"/>
              </w:rPr>
            </w:pPr>
            <w:r w:rsidRPr="00C34024">
              <w:rPr>
                <w:rFonts w:cs="Arial"/>
                <w:color w:val="000000"/>
                <w:sz w:val="18"/>
                <w:szCs w:val="18"/>
              </w:rPr>
              <w:t>4</w:t>
            </w:r>
          </w:p>
        </w:tc>
        <w:tc>
          <w:tcPr>
            <w:tcW w:w="720" w:type="dxa"/>
          </w:tcPr>
          <w:p w14:paraId="3CDA440F" w14:textId="4B458169"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661" w:type="dxa"/>
          </w:tcPr>
          <w:p w14:paraId="1C71D5C2" w14:textId="5B1D63BE" w:rsidR="00723519" w:rsidRPr="00C34024" w:rsidRDefault="00723519" w:rsidP="00723519">
            <w:pPr>
              <w:spacing w:after="60"/>
              <w:jc w:val="right"/>
              <w:rPr>
                <w:rFonts w:cs="Arial"/>
                <w:color w:val="000000"/>
                <w:sz w:val="18"/>
                <w:szCs w:val="18"/>
              </w:rPr>
            </w:pPr>
            <w:r w:rsidRPr="00C34024">
              <w:rPr>
                <w:rFonts w:cs="Arial"/>
                <w:color w:val="000000"/>
                <w:sz w:val="18"/>
                <w:szCs w:val="18"/>
              </w:rPr>
              <w:t>0</w:t>
            </w:r>
          </w:p>
        </w:tc>
        <w:tc>
          <w:tcPr>
            <w:tcW w:w="751" w:type="dxa"/>
          </w:tcPr>
          <w:p w14:paraId="562232F1" w14:textId="38D3636D" w:rsidR="00723519" w:rsidRPr="00C34024" w:rsidRDefault="00723519" w:rsidP="00723519">
            <w:pPr>
              <w:spacing w:after="60"/>
              <w:jc w:val="right"/>
              <w:rPr>
                <w:rFonts w:cs="Arial"/>
                <w:b/>
                <w:bCs/>
                <w:sz w:val="18"/>
                <w:szCs w:val="18"/>
              </w:rPr>
            </w:pPr>
            <w:r w:rsidRPr="00C34024">
              <w:rPr>
                <w:rFonts w:cs="Arial"/>
                <w:color w:val="000000"/>
                <w:sz w:val="18"/>
                <w:szCs w:val="18"/>
              </w:rPr>
              <w:t>45</w:t>
            </w:r>
          </w:p>
        </w:tc>
      </w:tr>
      <w:tr w:rsidR="00723519" w:rsidRPr="00224AA8" w14:paraId="79991FEC" w14:textId="77777777" w:rsidTr="00754DA1">
        <w:tc>
          <w:tcPr>
            <w:tcW w:w="2041" w:type="dxa"/>
            <w:vAlign w:val="center"/>
          </w:tcPr>
          <w:p w14:paraId="6D7574F5" w14:textId="77777777" w:rsidR="00723519" w:rsidRPr="00775719" w:rsidRDefault="00723519" w:rsidP="00723519">
            <w:pPr>
              <w:spacing w:after="60"/>
              <w:rPr>
                <w:rFonts w:cstheme="minorBidi"/>
                <w:sz w:val="18"/>
                <w:szCs w:val="18"/>
              </w:rPr>
            </w:pPr>
            <w:r w:rsidRPr="00775719">
              <w:rPr>
                <w:rFonts w:cstheme="minorBidi"/>
                <w:sz w:val="18"/>
                <w:szCs w:val="18"/>
              </w:rPr>
              <w:t>To stop gambling</w:t>
            </w:r>
          </w:p>
        </w:tc>
        <w:tc>
          <w:tcPr>
            <w:tcW w:w="721" w:type="dxa"/>
          </w:tcPr>
          <w:p w14:paraId="4E14BEE2" w14:textId="53DE5293"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20" w:type="dxa"/>
          </w:tcPr>
          <w:p w14:paraId="0CEBC2E4" w14:textId="50FABBC5"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720" w:type="dxa"/>
          </w:tcPr>
          <w:p w14:paraId="4BA04FB0" w14:textId="78DD2515"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20" w:type="dxa"/>
          </w:tcPr>
          <w:p w14:paraId="601DE8E1" w14:textId="169B87D2"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20" w:type="dxa"/>
          </w:tcPr>
          <w:p w14:paraId="767BE6B0" w14:textId="56BE5396"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720" w:type="dxa"/>
          </w:tcPr>
          <w:p w14:paraId="0A4DDDCF" w14:textId="42F78836"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20" w:type="dxa"/>
          </w:tcPr>
          <w:p w14:paraId="68430904" w14:textId="5AC5BDB7"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661" w:type="dxa"/>
          </w:tcPr>
          <w:p w14:paraId="6EBDCED8" w14:textId="3AB4AE42" w:rsidR="00723519" w:rsidRPr="00C34024" w:rsidRDefault="00723519" w:rsidP="00723519">
            <w:pPr>
              <w:spacing w:after="60"/>
              <w:jc w:val="right"/>
              <w:rPr>
                <w:rFonts w:cs="Arial"/>
                <w:color w:val="000000"/>
                <w:sz w:val="18"/>
                <w:szCs w:val="18"/>
              </w:rPr>
            </w:pPr>
            <w:r w:rsidRPr="00C34024">
              <w:rPr>
                <w:rFonts w:cs="Arial"/>
                <w:color w:val="000000"/>
                <w:sz w:val="18"/>
                <w:szCs w:val="18"/>
              </w:rPr>
              <w:t>0</w:t>
            </w:r>
          </w:p>
        </w:tc>
        <w:tc>
          <w:tcPr>
            <w:tcW w:w="751" w:type="dxa"/>
          </w:tcPr>
          <w:p w14:paraId="02B51FFF" w14:textId="2233DA90" w:rsidR="00723519" w:rsidRPr="00C34024" w:rsidRDefault="00723519" w:rsidP="00723519">
            <w:pPr>
              <w:spacing w:after="60"/>
              <w:jc w:val="right"/>
              <w:rPr>
                <w:rFonts w:cs="Arial"/>
                <w:b/>
                <w:bCs/>
                <w:sz w:val="18"/>
                <w:szCs w:val="18"/>
              </w:rPr>
            </w:pPr>
            <w:r w:rsidRPr="00C34024">
              <w:rPr>
                <w:rFonts w:cs="Arial"/>
                <w:color w:val="000000"/>
                <w:sz w:val="18"/>
                <w:szCs w:val="18"/>
              </w:rPr>
              <w:t>2</w:t>
            </w:r>
          </w:p>
        </w:tc>
      </w:tr>
      <w:tr w:rsidR="00723519" w:rsidRPr="00224AA8" w14:paraId="1A3A2986" w14:textId="77777777" w:rsidTr="00754DA1">
        <w:tc>
          <w:tcPr>
            <w:tcW w:w="2041" w:type="dxa"/>
            <w:vAlign w:val="center"/>
          </w:tcPr>
          <w:p w14:paraId="026A99FA" w14:textId="77777777" w:rsidR="00723519" w:rsidRPr="00775719" w:rsidRDefault="00723519" w:rsidP="00723519">
            <w:pPr>
              <w:spacing w:after="60"/>
              <w:rPr>
                <w:rFonts w:cstheme="minorBidi"/>
                <w:sz w:val="18"/>
                <w:szCs w:val="18"/>
              </w:rPr>
            </w:pPr>
            <w:r w:rsidRPr="00775719">
              <w:rPr>
                <w:rFonts w:cstheme="minorBidi"/>
                <w:sz w:val="18"/>
                <w:szCs w:val="18"/>
              </w:rPr>
              <w:t>With general wellbeing</w:t>
            </w:r>
          </w:p>
        </w:tc>
        <w:tc>
          <w:tcPr>
            <w:tcW w:w="721" w:type="dxa"/>
          </w:tcPr>
          <w:p w14:paraId="4EA1ABF7" w14:textId="59A81FD3"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20" w:type="dxa"/>
          </w:tcPr>
          <w:p w14:paraId="2B4EF9A7" w14:textId="3A6A91E4" w:rsidR="00723519" w:rsidRPr="00C34024" w:rsidRDefault="00723519" w:rsidP="00723519">
            <w:pPr>
              <w:spacing w:after="60"/>
              <w:jc w:val="right"/>
              <w:rPr>
                <w:rFonts w:cs="Arial"/>
                <w:sz w:val="18"/>
                <w:szCs w:val="18"/>
              </w:rPr>
            </w:pPr>
            <w:r w:rsidRPr="00C34024">
              <w:rPr>
                <w:rFonts w:cs="Arial"/>
                <w:color w:val="000000"/>
                <w:sz w:val="18"/>
                <w:szCs w:val="18"/>
              </w:rPr>
              <w:t>2</w:t>
            </w:r>
          </w:p>
        </w:tc>
        <w:tc>
          <w:tcPr>
            <w:tcW w:w="720" w:type="dxa"/>
          </w:tcPr>
          <w:p w14:paraId="0FCC3AC3" w14:textId="30EA6F04"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720" w:type="dxa"/>
          </w:tcPr>
          <w:p w14:paraId="28F6FC12" w14:textId="3A6484AE"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20" w:type="dxa"/>
          </w:tcPr>
          <w:p w14:paraId="2630FEFB" w14:textId="467EE6E6"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720" w:type="dxa"/>
          </w:tcPr>
          <w:p w14:paraId="40B29EC0" w14:textId="2591EE0E"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720" w:type="dxa"/>
          </w:tcPr>
          <w:p w14:paraId="1F81151A" w14:textId="718A0F2B"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661" w:type="dxa"/>
          </w:tcPr>
          <w:p w14:paraId="361348C2" w14:textId="179DC2DA" w:rsidR="00723519" w:rsidRPr="00C34024" w:rsidRDefault="00723519" w:rsidP="00723519">
            <w:pPr>
              <w:spacing w:after="60"/>
              <w:jc w:val="right"/>
              <w:rPr>
                <w:rFonts w:cs="Arial"/>
                <w:color w:val="000000"/>
                <w:sz w:val="18"/>
                <w:szCs w:val="18"/>
              </w:rPr>
            </w:pPr>
            <w:r w:rsidRPr="00C34024">
              <w:rPr>
                <w:rFonts w:cs="Arial"/>
                <w:color w:val="000000"/>
                <w:sz w:val="18"/>
                <w:szCs w:val="18"/>
              </w:rPr>
              <w:t>0</w:t>
            </w:r>
          </w:p>
        </w:tc>
        <w:tc>
          <w:tcPr>
            <w:tcW w:w="751" w:type="dxa"/>
          </w:tcPr>
          <w:p w14:paraId="1CDB0ACD" w14:textId="76FDB80B" w:rsidR="00723519" w:rsidRPr="00C34024" w:rsidRDefault="00723519" w:rsidP="00723519">
            <w:pPr>
              <w:spacing w:after="60"/>
              <w:jc w:val="right"/>
              <w:rPr>
                <w:rFonts w:cs="Arial"/>
                <w:b/>
                <w:bCs/>
                <w:sz w:val="18"/>
                <w:szCs w:val="18"/>
              </w:rPr>
            </w:pPr>
            <w:r w:rsidRPr="00C34024">
              <w:rPr>
                <w:rFonts w:cs="Arial"/>
                <w:color w:val="000000"/>
                <w:sz w:val="18"/>
                <w:szCs w:val="18"/>
              </w:rPr>
              <w:t>5</w:t>
            </w:r>
          </w:p>
        </w:tc>
      </w:tr>
      <w:tr w:rsidR="00723519" w:rsidRPr="00224AA8" w14:paraId="0C4C1B0B" w14:textId="77777777" w:rsidTr="00754DA1">
        <w:tc>
          <w:tcPr>
            <w:tcW w:w="2041" w:type="dxa"/>
            <w:vAlign w:val="center"/>
          </w:tcPr>
          <w:p w14:paraId="4457C55B" w14:textId="77777777" w:rsidR="00723519" w:rsidRPr="00775719" w:rsidRDefault="00723519" w:rsidP="00723519">
            <w:pPr>
              <w:spacing w:after="60"/>
              <w:rPr>
                <w:rFonts w:cstheme="minorBidi"/>
                <w:b/>
                <w:bCs/>
                <w:sz w:val="18"/>
                <w:szCs w:val="18"/>
              </w:rPr>
            </w:pPr>
            <w:r w:rsidRPr="00775719">
              <w:rPr>
                <w:rFonts w:cstheme="minorBidi"/>
                <w:b/>
                <w:bCs/>
                <w:sz w:val="18"/>
                <w:szCs w:val="18"/>
              </w:rPr>
              <w:t>Total</w:t>
            </w:r>
          </w:p>
        </w:tc>
        <w:tc>
          <w:tcPr>
            <w:tcW w:w="721" w:type="dxa"/>
          </w:tcPr>
          <w:p w14:paraId="763B1F6E" w14:textId="1F74BA98" w:rsidR="00723519" w:rsidRPr="00C34024" w:rsidRDefault="00723519" w:rsidP="00723519">
            <w:pPr>
              <w:spacing w:after="60"/>
              <w:jc w:val="right"/>
              <w:rPr>
                <w:rFonts w:cs="Arial"/>
                <w:b/>
                <w:bCs/>
                <w:sz w:val="18"/>
                <w:szCs w:val="18"/>
              </w:rPr>
            </w:pPr>
            <w:r w:rsidRPr="00C34024">
              <w:rPr>
                <w:rFonts w:cs="Arial"/>
                <w:b/>
                <w:bCs/>
                <w:color w:val="000000"/>
                <w:sz w:val="18"/>
                <w:szCs w:val="18"/>
              </w:rPr>
              <w:t>11</w:t>
            </w:r>
          </w:p>
        </w:tc>
        <w:tc>
          <w:tcPr>
            <w:tcW w:w="720" w:type="dxa"/>
          </w:tcPr>
          <w:p w14:paraId="5531A3F7" w14:textId="6277CAD1" w:rsidR="00723519" w:rsidRPr="00C34024" w:rsidRDefault="00723519" w:rsidP="00723519">
            <w:pPr>
              <w:spacing w:after="60"/>
              <w:jc w:val="right"/>
              <w:rPr>
                <w:rFonts w:cs="Arial"/>
                <w:b/>
                <w:bCs/>
                <w:sz w:val="18"/>
                <w:szCs w:val="18"/>
              </w:rPr>
            </w:pPr>
            <w:r w:rsidRPr="00C34024">
              <w:rPr>
                <w:rFonts w:cs="Arial"/>
                <w:b/>
                <w:bCs/>
                <w:color w:val="000000"/>
                <w:sz w:val="18"/>
                <w:szCs w:val="18"/>
              </w:rPr>
              <w:t>76</w:t>
            </w:r>
          </w:p>
        </w:tc>
        <w:tc>
          <w:tcPr>
            <w:tcW w:w="720" w:type="dxa"/>
          </w:tcPr>
          <w:p w14:paraId="6C6C0EDF" w14:textId="7F572368" w:rsidR="00723519" w:rsidRPr="00C34024" w:rsidRDefault="00723519" w:rsidP="00723519">
            <w:pPr>
              <w:spacing w:after="60"/>
              <w:jc w:val="right"/>
              <w:rPr>
                <w:rFonts w:cs="Arial"/>
                <w:b/>
                <w:bCs/>
                <w:sz w:val="18"/>
                <w:szCs w:val="18"/>
              </w:rPr>
            </w:pPr>
            <w:r w:rsidRPr="00C34024">
              <w:rPr>
                <w:rFonts w:cs="Arial"/>
                <w:b/>
                <w:bCs/>
                <w:color w:val="000000"/>
                <w:sz w:val="18"/>
                <w:szCs w:val="18"/>
              </w:rPr>
              <w:t>46</w:t>
            </w:r>
          </w:p>
        </w:tc>
        <w:tc>
          <w:tcPr>
            <w:tcW w:w="720" w:type="dxa"/>
          </w:tcPr>
          <w:p w14:paraId="0883808B" w14:textId="1DC0CAA5" w:rsidR="00723519" w:rsidRPr="00C34024" w:rsidRDefault="00723519" w:rsidP="00723519">
            <w:pPr>
              <w:spacing w:after="60"/>
              <w:jc w:val="right"/>
              <w:rPr>
                <w:rFonts w:cs="Arial"/>
                <w:b/>
                <w:bCs/>
                <w:sz w:val="18"/>
                <w:szCs w:val="18"/>
              </w:rPr>
            </w:pPr>
            <w:r w:rsidRPr="00C34024">
              <w:rPr>
                <w:rFonts w:cs="Arial"/>
                <w:b/>
                <w:bCs/>
                <w:color w:val="000000"/>
                <w:sz w:val="18"/>
                <w:szCs w:val="18"/>
              </w:rPr>
              <w:t>36</w:t>
            </w:r>
          </w:p>
        </w:tc>
        <w:tc>
          <w:tcPr>
            <w:tcW w:w="720" w:type="dxa"/>
          </w:tcPr>
          <w:p w14:paraId="37E70DF8" w14:textId="6EAE9EAB" w:rsidR="00723519" w:rsidRPr="00C34024" w:rsidRDefault="00723519" w:rsidP="00723519">
            <w:pPr>
              <w:spacing w:after="60"/>
              <w:jc w:val="right"/>
              <w:rPr>
                <w:rFonts w:cs="Arial"/>
                <w:b/>
                <w:bCs/>
                <w:sz w:val="18"/>
                <w:szCs w:val="18"/>
              </w:rPr>
            </w:pPr>
            <w:r w:rsidRPr="00C34024">
              <w:rPr>
                <w:rFonts w:cs="Arial"/>
                <w:b/>
                <w:bCs/>
                <w:color w:val="000000"/>
                <w:sz w:val="18"/>
                <w:szCs w:val="18"/>
              </w:rPr>
              <w:t>38</w:t>
            </w:r>
          </w:p>
        </w:tc>
        <w:tc>
          <w:tcPr>
            <w:tcW w:w="720" w:type="dxa"/>
          </w:tcPr>
          <w:p w14:paraId="360FA2C9" w14:textId="6587E802" w:rsidR="00723519" w:rsidRPr="00C34024" w:rsidRDefault="00723519" w:rsidP="00723519">
            <w:pPr>
              <w:spacing w:after="60"/>
              <w:jc w:val="right"/>
              <w:rPr>
                <w:rFonts w:cs="Arial"/>
                <w:b/>
                <w:bCs/>
                <w:sz w:val="18"/>
                <w:szCs w:val="18"/>
              </w:rPr>
            </w:pPr>
            <w:r w:rsidRPr="00C34024">
              <w:rPr>
                <w:rFonts w:cs="Arial"/>
                <w:b/>
                <w:bCs/>
                <w:color w:val="000000"/>
                <w:sz w:val="18"/>
                <w:szCs w:val="18"/>
              </w:rPr>
              <w:t>27</w:t>
            </w:r>
          </w:p>
        </w:tc>
        <w:tc>
          <w:tcPr>
            <w:tcW w:w="720" w:type="dxa"/>
          </w:tcPr>
          <w:p w14:paraId="10E4BBA2" w14:textId="08FA9D4F" w:rsidR="00723519" w:rsidRPr="00C34024" w:rsidRDefault="00723519" w:rsidP="00723519">
            <w:pPr>
              <w:spacing w:after="60"/>
              <w:jc w:val="right"/>
              <w:rPr>
                <w:rFonts w:cs="Arial"/>
                <w:b/>
                <w:bCs/>
                <w:sz w:val="18"/>
                <w:szCs w:val="18"/>
              </w:rPr>
            </w:pPr>
            <w:r w:rsidRPr="00C34024">
              <w:rPr>
                <w:rFonts w:cs="Arial"/>
                <w:b/>
                <w:bCs/>
                <w:color w:val="000000"/>
                <w:sz w:val="18"/>
                <w:szCs w:val="18"/>
              </w:rPr>
              <w:t>11</w:t>
            </w:r>
          </w:p>
        </w:tc>
        <w:tc>
          <w:tcPr>
            <w:tcW w:w="661" w:type="dxa"/>
          </w:tcPr>
          <w:p w14:paraId="31FEFBB0" w14:textId="4BFFE457" w:rsidR="00723519" w:rsidRPr="00C34024" w:rsidRDefault="00723519" w:rsidP="00723519">
            <w:pPr>
              <w:spacing w:after="60"/>
              <w:jc w:val="right"/>
              <w:rPr>
                <w:rFonts w:cs="Arial"/>
                <w:b/>
                <w:bCs/>
                <w:color w:val="000000"/>
                <w:sz w:val="18"/>
                <w:szCs w:val="18"/>
              </w:rPr>
            </w:pPr>
            <w:r w:rsidRPr="00C34024">
              <w:rPr>
                <w:rFonts w:cs="Arial"/>
                <w:b/>
                <w:bCs/>
                <w:color w:val="000000"/>
                <w:sz w:val="18"/>
                <w:szCs w:val="18"/>
              </w:rPr>
              <w:t>1</w:t>
            </w:r>
          </w:p>
        </w:tc>
        <w:tc>
          <w:tcPr>
            <w:tcW w:w="751" w:type="dxa"/>
          </w:tcPr>
          <w:p w14:paraId="1E0A4D81" w14:textId="7EC2FE97" w:rsidR="00723519" w:rsidRPr="00C34024" w:rsidRDefault="00723519" w:rsidP="00723519">
            <w:pPr>
              <w:spacing w:after="60"/>
              <w:jc w:val="right"/>
              <w:rPr>
                <w:rFonts w:cs="Arial"/>
                <w:b/>
                <w:bCs/>
                <w:sz w:val="18"/>
                <w:szCs w:val="18"/>
              </w:rPr>
            </w:pPr>
            <w:r w:rsidRPr="00C34024">
              <w:rPr>
                <w:rFonts w:cs="Arial"/>
                <w:b/>
                <w:bCs/>
                <w:color w:val="000000"/>
                <w:sz w:val="18"/>
                <w:szCs w:val="18"/>
              </w:rPr>
              <w:t>246</w:t>
            </w:r>
          </w:p>
        </w:tc>
      </w:tr>
    </w:tbl>
    <w:p w14:paraId="5EB62BEB" w14:textId="77777777" w:rsidR="00475502" w:rsidRPr="00224AA8" w:rsidRDefault="00475502" w:rsidP="00475502"/>
    <w:p w14:paraId="53F1CE63" w14:textId="77777777" w:rsidR="00723519" w:rsidRPr="00224AA8" w:rsidRDefault="00723519" w:rsidP="00723519">
      <w:pPr>
        <w:spacing w:after="160" w:line="259" w:lineRule="auto"/>
        <w:rPr>
          <w:iCs/>
        </w:rPr>
      </w:pPr>
      <w:r w:rsidRPr="00224AA8">
        <w:rPr>
          <w:iCs/>
        </w:rPr>
        <w:t>During 202</w:t>
      </w:r>
      <w:r>
        <w:rPr>
          <w:iCs/>
        </w:rPr>
        <w:t>4</w:t>
      </w:r>
      <w:r w:rsidRPr="00224AA8">
        <w:rPr>
          <w:iCs/>
        </w:rPr>
        <w:t>-2</w:t>
      </w:r>
      <w:r>
        <w:rPr>
          <w:iCs/>
        </w:rPr>
        <w:t>5</w:t>
      </w:r>
      <w:r w:rsidRPr="00224AA8">
        <w:rPr>
          <w:iCs/>
        </w:rPr>
        <w:t xml:space="preserve"> the highest circumstance</w:t>
      </w:r>
      <w:r w:rsidRPr="00224AA8">
        <w:rPr>
          <w:rStyle w:val="FootnoteReference"/>
          <w:iCs/>
        </w:rPr>
        <w:footnoteReference w:id="5"/>
      </w:r>
      <w:r w:rsidRPr="00224AA8">
        <w:rPr>
          <w:iCs/>
        </w:rPr>
        <w:t xml:space="preserve"> chosen by clients to enter into a voluntary agreement for VIM was “I need support for myself” (</w:t>
      </w:r>
      <w:r>
        <w:rPr>
          <w:iCs/>
        </w:rPr>
        <w:t>80</w:t>
      </w:r>
      <w:r w:rsidRPr="00224AA8">
        <w:rPr>
          <w:iCs/>
        </w:rPr>
        <w:t>), followed by “</w:t>
      </w:r>
      <w:r w:rsidRPr="00224AA8">
        <w:t>I need help to support my children</w:t>
      </w:r>
      <w:r w:rsidRPr="00224AA8">
        <w:rPr>
          <w:iCs/>
        </w:rPr>
        <w:t>” (</w:t>
      </w:r>
      <w:r>
        <w:rPr>
          <w:iCs/>
        </w:rPr>
        <w:t>31</w:t>
      </w:r>
      <w:r w:rsidRPr="00224AA8">
        <w:rPr>
          <w:iCs/>
        </w:rPr>
        <w:t>) “I need help to support my family” (</w:t>
      </w:r>
      <w:r>
        <w:rPr>
          <w:iCs/>
        </w:rPr>
        <w:t>26</w:t>
      </w:r>
      <w:r w:rsidRPr="00224AA8">
        <w:rPr>
          <w:iCs/>
        </w:rPr>
        <w:t>), and “</w:t>
      </w:r>
      <w:r w:rsidRPr="00224AA8">
        <w:t>I like the SmartCard</w:t>
      </w:r>
      <w:r w:rsidRPr="00224AA8">
        <w:rPr>
          <w:iCs/>
        </w:rPr>
        <w:t>” (</w:t>
      </w:r>
      <w:r>
        <w:rPr>
          <w:iCs/>
        </w:rPr>
        <w:t>25</w:t>
      </w:r>
      <w:r w:rsidRPr="00224AA8">
        <w:rPr>
          <w:iCs/>
        </w:rPr>
        <w:t>).</w:t>
      </w:r>
    </w:p>
    <w:tbl>
      <w:tblPr>
        <w:tblStyle w:val="TableGrid"/>
        <w:tblW w:w="0" w:type="auto"/>
        <w:tblLook w:val="04A0" w:firstRow="1" w:lastRow="0" w:firstColumn="1" w:lastColumn="0" w:noHBand="0" w:noVBand="1"/>
      </w:tblPr>
      <w:tblGrid>
        <w:gridCol w:w="2099"/>
        <w:gridCol w:w="713"/>
        <w:gridCol w:w="715"/>
        <w:gridCol w:w="715"/>
        <w:gridCol w:w="715"/>
        <w:gridCol w:w="715"/>
        <w:gridCol w:w="715"/>
        <w:gridCol w:w="709"/>
        <w:gridCol w:w="650"/>
        <w:gridCol w:w="748"/>
      </w:tblGrid>
      <w:tr w:rsidR="00475502" w:rsidRPr="00224AA8" w14:paraId="50885C42" w14:textId="77777777" w:rsidTr="00754DA1">
        <w:tc>
          <w:tcPr>
            <w:tcW w:w="2099" w:type="dxa"/>
            <w:shd w:val="clear" w:color="auto" w:fill="808080" w:themeFill="background1" w:themeFillShade="80"/>
          </w:tcPr>
          <w:p w14:paraId="0EA9AFDA" w14:textId="77777777" w:rsidR="00475502" w:rsidRPr="00775719" w:rsidRDefault="00475502" w:rsidP="00754DA1">
            <w:pPr>
              <w:rPr>
                <w:rFonts w:cs="Arial"/>
                <w:b/>
                <w:bCs/>
                <w:color w:val="FFFFFF" w:themeColor="background1"/>
                <w:sz w:val="18"/>
                <w:szCs w:val="18"/>
              </w:rPr>
            </w:pPr>
            <w:r w:rsidRPr="00775719">
              <w:rPr>
                <w:rFonts w:cs="Arial"/>
                <w:b/>
                <w:bCs/>
                <w:color w:val="FFFFFF" w:themeColor="background1"/>
                <w:sz w:val="18"/>
                <w:szCs w:val="18"/>
              </w:rPr>
              <w:t>VIM Circumstance/s</w:t>
            </w:r>
          </w:p>
        </w:tc>
        <w:tc>
          <w:tcPr>
            <w:tcW w:w="713" w:type="dxa"/>
            <w:shd w:val="clear" w:color="auto" w:fill="808080" w:themeFill="background1" w:themeFillShade="80"/>
          </w:tcPr>
          <w:p w14:paraId="1ECBF74B" w14:textId="77777777" w:rsidR="00475502" w:rsidRPr="00775719" w:rsidRDefault="00475502" w:rsidP="00754DA1">
            <w:pPr>
              <w:rPr>
                <w:rFonts w:cs="Arial"/>
                <w:b/>
                <w:bCs/>
                <w:color w:val="FFFFFF" w:themeColor="background1"/>
                <w:sz w:val="18"/>
                <w:szCs w:val="18"/>
              </w:rPr>
            </w:pPr>
            <w:r w:rsidRPr="00775719">
              <w:rPr>
                <w:rFonts w:cs="Arial"/>
                <w:b/>
                <w:bCs/>
                <w:color w:val="FFFFFF" w:themeColor="background1"/>
                <w:sz w:val="18"/>
                <w:szCs w:val="18"/>
              </w:rPr>
              <w:t>18-25</w:t>
            </w:r>
          </w:p>
        </w:tc>
        <w:tc>
          <w:tcPr>
            <w:tcW w:w="715" w:type="dxa"/>
            <w:shd w:val="clear" w:color="auto" w:fill="808080" w:themeFill="background1" w:themeFillShade="80"/>
          </w:tcPr>
          <w:p w14:paraId="11DABB76" w14:textId="77777777" w:rsidR="00475502" w:rsidRPr="00775719" w:rsidRDefault="00475502" w:rsidP="00754DA1">
            <w:pPr>
              <w:rPr>
                <w:rFonts w:cs="Arial"/>
                <w:b/>
                <w:bCs/>
                <w:color w:val="FFFFFF" w:themeColor="background1"/>
                <w:sz w:val="18"/>
                <w:szCs w:val="18"/>
              </w:rPr>
            </w:pPr>
            <w:r w:rsidRPr="00775719">
              <w:rPr>
                <w:rFonts w:cs="Arial"/>
                <w:b/>
                <w:bCs/>
                <w:color w:val="FFFFFF" w:themeColor="background1"/>
                <w:sz w:val="18"/>
                <w:szCs w:val="18"/>
              </w:rPr>
              <w:t>26-35</w:t>
            </w:r>
          </w:p>
        </w:tc>
        <w:tc>
          <w:tcPr>
            <w:tcW w:w="715" w:type="dxa"/>
            <w:shd w:val="clear" w:color="auto" w:fill="808080" w:themeFill="background1" w:themeFillShade="80"/>
          </w:tcPr>
          <w:p w14:paraId="0F564EB9" w14:textId="77777777" w:rsidR="00475502" w:rsidRPr="00775719" w:rsidRDefault="00475502" w:rsidP="00754DA1">
            <w:pPr>
              <w:rPr>
                <w:rFonts w:cs="Arial"/>
                <w:b/>
                <w:bCs/>
                <w:color w:val="FFFFFF" w:themeColor="background1"/>
                <w:sz w:val="18"/>
                <w:szCs w:val="18"/>
              </w:rPr>
            </w:pPr>
            <w:r w:rsidRPr="00775719">
              <w:rPr>
                <w:rFonts w:cs="Arial"/>
                <w:b/>
                <w:bCs/>
                <w:color w:val="FFFFFF" w:themeColor="background1"/>
                <w:sz w:val="18"/>
                <w:szCs w:val="18"/>
              </w:rPr>
              <w:t>36-45</w:t>
            </w:r>
          </w:p>
        </w:tc>
        <w:tc>
          <w:tcPr>
            <w:tcW w:w="715" w:type="dxa"/>
            <w:shd w:val="clear" w:color="auto" w:fill="808080" w:themeFill="background1" w:themeFillShade="80"/>
          </w:tcPr>
          <w:p w14:paraId="7D16D32A" w14:textId="77777777" w:rsidR="00475502" w:rsidRPr="00775719" w:rsidRDefault="00475502" w:rsidP="00754DA1">
            <w:pPr>
              <w:rPr>
                <w:rFonts w:cs="Arial"/>
                <w:b/>
                <w:bCs/>
                <w:color w:val="FFFFFF" w:themeColor="background1"/>
                <w:sz w:val="18"/>
                <w:szCs w:val="18"/>
              </w:rPr>
            </w:pPr>
            <w:r w:rsidRPr="00775719">
              <w:rPr>
                <w:rFonts w:cs="Arial"/>
                <w:b/>
                <w:bCs/>
                <w:color w:val="FFFFFF" w:themeColor="background1"/>
                <w:sz w:val="18"/>
                <w:szCs w:val="18"/>
              </w:rPr>
              <w:t>46-55</w:t>
            </w:r>
          </w:p>
        </w:tc>
        <w:tc>
          <w:tcPr>
            <w:tcW w:w="715" w:type="dxa"/>
            <w:shd w:val="clear" w:color="auto" w:fill="808080" w:themeFill="background1" w:themeFillShade="80"/>
          </w:tcPr>
          <w:p w14:paraId="6FAFE8CB" w14:textId="77777777" w:rsidR="00475502" w:rsidRPr="00775719" w:rsidRDefault="00475502" w:rsidP="00754DA1">
            <w:pPr>
              <w:rPr>
                <w:rFonts w:cs="Arial"/>
                <w:b/>
                <w:bCs/>
                <w:color w:val="FFFFFF" w:themeColor="background1"/>
                <w:sz w:val="18"/>
                <w:szCs w:val="18"/>
              </w:rPr>
            </w:pPr>
            <w:r w:rsidRPr="00775719">
              <w:rPr>
                <w:rFonts w:cs="Arial"/>
                <w:b/>
                <w:bCs/>
                <w:color w:val="FFFFFF" w:themeColor="background1"/>
                <w:sz w:val="18"/>
                <w:szCs w:val="18"/>
              </w:rPr>
              <w:t>56-65</w:t>
            </w:r>
          </w:p>
        </w:tc>
        <w:tc>
          <w:tcPr>
            <w:tcW w:w="715" w:type="dxa"/>
            <w:shd w:val="clear" w:color="auto" w:fill="808080" w:themeFill="background1" w:themeFillShade="80"/>
          </w:tcPr>
          <w:p w14:paraId="4A829B5F" w14:textId="77777777" w:rsidR="00475502" w:rsidRPr="00775719" w:rsidRDefault="00475502" w:rsidP="00754DA1">
            <w:pPr>
              <w:rPr>
                <w:rFonts w:cs="Arial"/>
                <w:b/>
                <w:bCs/>
                <w:color w:val="FFFFFF" w:themeColor="background1"/>
                <w:sz w:val="18"/>
                <w:szCs w:val="18"/>
              </w:rPr>
            </w:pPr>
            <w:r w:rsidRPr="00775719">
              <w:rPr>
                <w:rFonts w:cs="Arial"/>
                <w:b/>
                <w:bCs/>
                <w:color w:val="FFFFFF" w:themeColor="background1"/>
                <w:sz w:val="18"/>
                <w:szCs w:val="18"/>
              </w:rPr>
              <w:t>66-75</w:t>
            </w:r>
          </w:p>
        </w:tc>
        <w:tc>
          <w:tcPr>
            <w:tcW w:w="709" w:type="dxa"/>
            <w:shd w:val="clear" w:color="auto" w:fill="808080" w:themeFill="background1" w:themeFillShade="80"/>
          </w:tcPr>
          <w:p w14:paraId="0F8F6D72" w14:textId="77777777" w:rsidR="00475502" w:rsidRPr="00775719" w:rsidRDefault="00475502" w:rsidP="00754DA1">
            <w:pPr>
              <w:rPr>
                <w:rFonts w:cs="Arial"/>
                <w:b/>
                <w:bCs/>
                <w:color w:val="FFFFFF" w:themeColor="background1"/>
                <w:sz w:val="18"/>
                <w:szCs w:val="18"/>
              </w:rPr>
            </w:pPr>
            <w:r w:rsidRPr="00775719">
              <w:rPr>
                <w:rFonts w:cs="Arial"/>
                <w:b/>
                <w:bCs/>
                <w:color w:val="FFFFFF" w:themeColor="background1"/>
                <w:sz w:val="18"/>
                <w:szCs w:val="18"/>
              </w:rPr>
              <w:t>76-85</w:t>
            </w:r>
          </w:p>
        </w:tc>
        <w:tc>
          <w:tcPr>
            <w:tcW w:w="650" w:type="dxa"/>
            <w:shd w:val="clear" w:color="auto" w:fill="808080" w:themeFill="background1" w:themeFillShade="80"/>
          </w:tcPr>
          <w:p w14:paraId="0C667167" w14:textId="77777777" w:rsidR="00475502" w:rsidRPr="00775719" w:rsidRDefault="00475502" w:rsidP="00754DA1">
            <w:pPr>
              <w:rPr>
                <w:rFonts w:cs="Arial"/>
                <w:b/>
                <w:bCs/>
                <w:color w:val="FFFFFF" w:themeColor="background1"/>
                <w:sz w:val="18"/>
                <w:szCs w:val="18"/>
              </w:rPr>
            </w:pPr>
            <w:r w:rsidRPr="00775719">
              <w:rPr>
                <w:rFonts w:cs="Arial"/>
                <w:b/>
                <w:bCs/>
                <w:color w:val="FFFFFF" w:themeColor="background1"/>
                <w:sz w:val="18"/>
                <w:szCs w:val="18"/>
              </w:rPr>
              <w:t>86+</w:t>
            </w:r>
          </w:p>
        </w:tc>
        <w:tc>
          <w:tcPr>
            <w:tcW w:w="748" w:type="dxa"/>
            <w:shd w:val="clear" w:color="auto" w:fill="808080" w:themeFill="background1" w:themeFillShade="80"/>
          </w:tcPr>
          <w:p w14:paraId="51193EBB" w14:textId="77777777" w:rsidR="00475502" w:rsidRPr="00775719" w:rsidRDefault="00475502" w:rsidP="00754DA1">
            <w:pPr>
              <w:rPr>
                <w:rFonts w:cs="Arial"/>
                <w:b/>
                <w:bCs/>
                <w:color w:val="FFFFFF" w:themeColor="background1"/>
                <w:sz w:val="18"/>
                <w:szCs w:val="18"/>
              </w:rPr>
            </w:pPr>
            <w:r w:rsidRPr="00775719">
              <w:rPr>
                <w:rFonts w:cs="Arial"/>
                <w:b/>
                <w:bCs/>
                <w:color w:val="FFFFFF" w:themeColor="background1"/>
                <w:sz w:val="18"/>
                <w:szCs w:val="18"/>
              </w:rPr>
              <w:t>Total</w:t>
            </w:r>
          </w:p>
        </w:tc>
      </w:tr>
      <w:tr w:rsidR="00723519" w:rsidRPr="00224AA8" w14:paraId="557013F4" w14:textId="77777777" w:rsidTr="00754DA1">
        <w:tc>
          <w:tcPr>
            <w:tcW w:w="2099" w:type="dxa"/>
            <w:vAlign w:val="center"/>
          </w:tcPr>
          <w:p w14:paraId="1A481F07" w14:textId="77777777" w:rsidR="00723519" w:rsidRPr="00775719" w:rsidRDefault="00723519" w:rsidP="00723519">
            <w:pPr>
              <w:spacing w:after="60"/>
              <w:rPr>
                <w:rFonts w:cstheme="minorBidi"/>
                <w:sz w:val="18"/>
                <w:szCs w:val="18"/>
              </w:rPr>
            </w:pPr>
            <w:r w:rsidRPr="00775719">
              <w:rPr>
                <w:rFonts w:cstheme="minorBidi"/>
                <w:sz w:val="18"/>
                <w:szCs w:val="18"/>
              </w:rPr>
              <w:t>I don’t wish to provide this information</w:t>
            </w:r>
          </w:p>
        </w:tc>
        <w:tc>
          <w:tcPr>
            <w:tcW w:w="713" w:type="dxa"/>
          </w:tcPr>
          <w:p w14:paraId="5BDB1B38" w14:textId="46071284" w:rsidR="00723519" w:rsidRPr="00C34024" w:rsidRDefault="00723519" w:rsidP="00723519">
            <w:pPr>
              <w:spacing w:after="60"/>
              <w:jc w:val="right"/>
              <w:rPr>
                <w:rFonts w:cs="Arial"/>
                <w:sz w:val="18"/>
                <w:szCs w:val="18"/>
              </w:rPr>
            </w:pPr>
            <w:r w:rsidRPr="00C34024">
              <w:rPr>
                <w:rFonts w:cs="Arial"/>
                <w:sz w:val="18"/>
                <w:szCs w:val="18"/>
              </w:rPr>
              <w:t>0</w:t>
            </w:r>
          </w:p>
        </w:tc>
        <w:tc>
          <w:tcPr>
            <w:tcW w:w="715" w:type="dxa"/>
          </w:tcPr>
          <w:p w14:paraId="7FB01EB6" w14:textId="70D3F021" w:rsidR="00723519" w:rsidRPr="00C34024" w:rsidRDefault="00723519" w:rsidP="00723519">
            <w:pPr>
              <w:spacing w:after="60"/>
              <w:jc w:val="right"/>
              <w:rPr>
                <w:rFonts w:cs="Arial"/>
                <w:sz w:val="18"/>
                <w:szCs w:val="18"/>
              </w:rPr>
            </w:pPr>
            <w:r w:rsidRPr="00C34024">
              <w:rPr>
                <w:rFonts w:cs="Arial"/>
                <w:sz w:val="18"/>
                <w:szCs w:val="18"/>
              </w:rPr>
              <w:t>0</w:t>
            </w:r>
          </w:p>
        </w:tc>
        <w:tc>
          <w:tcPr>
            <w:tcW w:w="715" w:type="dxa"/>
          </w:tcPr>
          <w:p w14:paraId="2297377C" w14:textId="37DD71D4" w:rsidR="00723519" w:rsidRPr="00C34024" w:rsidRDefault="00723519" w:rsidP="00723519">
            <w:pPr>
              <w:spacing w:after="60"/>
              <w:jc w:val="right"/>
              <w:rPr>
                <w:rFonts w:cs="Arial"/>
                <w:sz w:val="18"/>
                <w:szCs w:val="18"/>
              </w:rPr>
            </w:pPr>
            <w:r w:rsidRPr="00C34024">
              <w:rPr>
                <w:rFonts w:cs="Arial"/>
                <w:sz w:val="18"/>
                <w:szCs w:val="18"/>
              </w:rPr>
              <w:t>0</w:t>
            </w:r>
          </w:p>
        </w:tc>
        <w:tc>
          <w:tcPr>
            <w:tcW w:w="715" w:type="dxa"/>
          </w:tcPr>
          <w:p w14:paraId="1E386432" w14:textId="41A0680D" w:rsidR="00723519" w:rsidRPr="00C34024" w:rsidRDefault="00723519" w:rsidP="00723519">
            <w:pPr>
              <w:spacing w:after="60"/>
              <w:jc w:val="right"/>
              <w:rPr>
                <w:rFonts w:cs="Arial"/>
                <w:sz w:val="18"/>
                <w:szCs w:val="18"/>
              </w:rPr>
            </w:pPr>
            <w:r w:rsidRPr="00C34024">
              <w:rPr>
                <w:rFonts w:cs="Arial"/>
                <w:sz w:val="18"/>
                <w:szCs w:val="18"/>
              </w:rPr>
              <w:t>0</w:t>
            </w:r>
          </w:p>
        </w:tc>
        <w:tc>
          <w:tcPr>
            <w:tcW w:w="715" w:type="dxa"/>
          </w:tcPr>
          <w:p w14:paraId="746884F6" w14:textId="2C7E95C1" w:rsidR="00723519" w:rsidRPr="00C34024" w:rsidRDefault="00723519" w:rsidP="00723519">
            <w:pPr>
              <w:spacing w:after="60"/>
              <w:jc w:val="right"/>
              <w:rPr>
                <w:rFonts w:cs="Arial"/>
                <w:sz w:val="18"/>
                <w:szCs w:val="18"/>
              </w:rPr>
            </w:pPr>
            <w:r w:rsidRPr="00C34024">
              <w:rPr>
                <w:rFonts w:cs="Arial"/>
                <w:sz w:val="18"/>
                <w:szCs w:val="18"/>
              </w:rPr>
              <w:t>0</w:t>
            </w:r>
          </w:p>
        </w:tc>
        <w:tc>
          <w:tcPr>
            <w:tcW w:w="715" w:type="dxa"/>
          </w:tcPr>
          <w:p w14:paraId="68C1D769" w14:textId="39A41FF6" w:rsidR="00723519" w:rsidRPr="00C34024" w:rsidRDefault="00723519" w:rsidP="00723519">
            <w:pPr>
              <w:spacing w:after="60"/>
              <w:jc w:val="right"/>
              <w:rPr>
                <w:rFonts w:cs="Arial"/>
                <w:sz w:val="18"/>
                <w:szCs w:val="18"/>
              </w:rPr>
            </w:pPr>
            <w:r w:rsidRPr="00C34024">
              <w:rPr>
                <w:rFonts w:cs="Arial"/>
                <w:sz w:val="18"/>
                <w:szCs w:val="18"/>
              </w:rPr>
              <w:t>0</w:t>
            </w:r>
          </w:p>
        </w:tc>
        <w:tc>
          <w:tcPr>
            <w:tcW w:w="709" w:type="dxa"/>
          </w:tcPr>
          <w:p w14:paraId="6F71D5B2" w14:textId="6AF975D4" w:rsidR="00723519" w:rsidRPr="00C34024" w:rsidRDefault="00723519" w:rsidP="00723519">
            <w:pPr>
              <w:spacing w:after="60"/>
              <w:jc w:val="right"/>
              <w:rPr>
                <w:rFonts w:cs="Arial"/>
                <w:sz w:val="18"/>
                <w:szCs w:val="18"/>
              </w:rPr>
            </w:pPr>
            <w:r w:rsidRPr="00C34024">
              <w:rPr>
                <w:rFonts w:cs="Arial"/>
                <w:sz w:val="18"/>
                <w:szCs w:val="18"/>
              </w:rPr>
              <w:t>0</w:t>
            </w:r>
          </w:p>
        </w:tc>
        <w:tc>
          <w:tcPr>
            <w:tcW w:w="650" w:type="dxa"/>
          </w:tcPr>
          <w:p w14:paraId="7D2005D8" w14:textId="1256555E" w:rsidR="00723519" w:rsidRPr="00C34024" w:rsidRDefault="00723519" w:rsidP="00723519">
            <w:pPr>
              <w:spacing w:after="60"/>
              <w:jc w:val="right"/>
              <w:rPr>
                <w:rFonts w:cs="Arial"/>
                <w:b/>
                <w:bCs/>
                <w:sz w:val="18"/>
                <w:szCs w:val="18"/>
              </w:rPr>
            </w:pPr>
            <w:r w:rsidRPr="00C34024">
              <w:rPr>
                <w:rFonts w:cs="Arial"/>
                <w:b/>
                <w:bCs/>
                <w:sz w:val="18"/>
                <w:szCs w:val="18"/>
              </w:rPr>
              <w:t>0</w:t>
            </w:r>
          </w:p>
        </w:tc>
        <w:tc>
          <w:tcPr>
            <w:tcW w:w="748" w:type="dxa"/>
          </w:tcPr>
          <w:p w14:paraId="508D3D28" w14:textId="7EEE6360" w:rsidR="00723519" w:rsidRPr="00C34024" w:rsidRDefault="00723519" w:rsidP="00723519">
            <w:pPr>
              <w:spacing w:after="60"/>
              <w:jc w:val="right"/>
              <w:rPr>
                <w:rFonts w:cs="Arial"/>
                <w:b/>
                <w:bCs/>
                <w:sz w:val="18"/>
                <w:szCs w:val="18"/>
              </w:rPr>
            </w:pPr>
            <w:r w:rsidRPr="00C34024">
              <w:rPr>
                <w:rFonts w:cs="Arial"/>
                <w:b/>
                <w:bCs/>
                <w:sz w:val="18"/>
                <w:szCs w:val="18"/>
              </w:rPr>
              <w:t>0</w:t>
            </w:r>
          </w:p>
        </w:tc>
      </w:tr>
      <w:tr w:rsidR="00723519" w:rsidRPr="00224AA8" w14:paraId="6D61E9C3" w14:textId="77777777" w:rsidTr="00754DA1">
        <w:tc>
          <w:tcPr>
            <w:tcW w:w="2099" w:type="dxa"/>
            <w:vAlign w:val="center"/>
          </w:tcPr>
          <w:p w14:paraId="47BA4B1C" w14:textId="77777777" w:rsidR="00723519" w:rsidRPr="00775719" w:rsidRDefault="00723519" w:rsidP="00723519">
            <w:pPr>
              <w:spacing w:after="60"/>
              <w:rPr>
                <w:rFonts w:cstheme="minorBidi"/>
                <w:sz w:val="18"/>
                <w:szCs w:val="18"/>
              </w:rPr>
            </w:pPr>
            <w:r w:rsidRPr="00775719">
              <w:rPr>
                <w:rFonts w:cstheme="minorBidi"/>
                <w:sz w:val="18"/>
                <w:szCs w:val="18"/>
              </w:rPr>
              <w:t>I like the SmartCard</w:t>
            </w:r>
          </w:p>
        </w:tc>
        <w:tc>
          <w:tcPr>
            <w:tcW w:w="713" w:type="dxa"/>
          </w:tcPr>
          <w:p w14:paraId="50E05859" w14:textId="088D5350"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715" w:type="dxa"/>
          </w:tcPr>
          <w:p w14:paraId="49AA2CBE" w14:textId="15C48E56" w:rsidR="00723519" w:rsidRPr="00C34024" w:rsidRDefault="00723519" w:rsidP="00723519">
            <w:pPr>
              <w:spacing w:after="60"/>
              <w:jc w:val="right"/>
              <w:rPr>
                <w:rFonts w:cs="Arial"/>
                <w:sz w:val="18"/>
                <w:szCs w:val="18"/>
              </w:rPr>
            </w:pPr>
            <w:r w:rsidRPr="00C34024">
              <w:rPr>
                <w:rFonts w:cs="Arial"/>
                <w:color w:val="000000"/>
                <w:sz w:val="18"/>
                <w:szCs w:val="18"/>
              </w:rPr>
              <w:t>7</w:t>
            </w:r>
          </w:p>
        </w:tc>
        <w:tc>
          <w:tcPr>
            <w:tcW w:w="715" w:type="dxa"/>
          </w:tcPr>
          <w:p w14:paraId="208349C5" w14:textId="6714F2AD" w:rsidR="00723519" w:rsidRPr="00C34024" w:rsidRDefault="00723519" w:rsidP="00723519">
            <w:pPr>
              <w:spacing w:after="60"/>
              <w:jc w:val="right"/>
              <w:rPr>
                <w:rFonts w:cs="Arial"/>
                <w:sz w:val="18"/>
                <w:szCs w:val="18"/>
              </w:rPr>
            </w:pPr>
            <w:r w:rsidRPr="00C34024">
              <w:rPr>
                <w:rFonts w:cs="Arial"/>
                <w:color w:val="000000"/>
                <w:sz w:val="18"/>
                <w:szCs w:val="18"/>
              </w:rPr>
              <w:t>6</w:t>
            </w:r>
          </w:p>
        </w:tc>
        <w:tc>
          <w:tcPr>
            <w:tcW w:w="715" w:type="dxa"/>
          </w:tcPr>
          <w:p w14:paraId="67B1CEC0" w14:textId="309460E4" w:rsidR="00723519" w:rsidRPr="00C34024" w:rsidRDefault="00723519" w:rsidP="00723519">
            <w:pPr>
              <w:spacing w:after="60"/>
              <w:jc w:val="right"/>
              <w:rPr>
                <w:rFonts w:cs="Arial"/>
                <w:sz w:val="18"/>
                <w:szCs w:val="18"/>
              </w:rPr>
            </w:pPr>
            <w:r w:rsidRPr="00C34024">
              <w:rPr>
                <w:rFonts w:cs="Arial"/>
                <w:color w:val="000000"/>
                <w:sz w:val="18"/>
                <w:szCs w:val="18"/>
              </w:rPr>
              <w:t>2</w:t>
            </w:r>
          </w:p>
        </w:tc>
        <w:tc>
          <w:tcPr>
            <w:tcW w:w="715" w:type="dxa"/>
          </w:tcPr>
          <w:p w14:paraId="2B5580D4" w14:textId="441B7256" w:rsidR="00723519" w:rsidRPr="00C34024" w:rsidRDefault="00723519" w:rsidP="00723519">
            <w:pPr>
              <w:spacing w:after="60"/>
              <w:jc w:val="right"/>
              <w:rPr>
                <w:rFonts w:cs="Arial"/>
                <w:sz w:val="18"/>
                <w:szCs w:val="18"/>
              </w:rPr>
            </w:pPr>
            <w:r w:rsidRPr="00C34024">
              <w:rPr>
                <w:rFonts w:cs="Arial"/>
                <w:color w:val="000000"/>
                <w:sz w:val="18"/>
                <w:szCs w:val="18"/>
              </w:rPr>
              <w:t>3</w:t>
            </w:r>
          </w:p>
        </w:tc>
        <w:tc>
          <w:tcPr>
            <w:tcW w:w="715" w:type="dxa"/>
          </w:tcPr>
          <w:p w14:paraId="0A3C2022" w14:textId="1286E746" w:rsidR="00723519" w:rsidRPr="00C34024" w:rsidRDefault="00723519" w:rsidP="00723519">
            <w:pPr>
              <w:spacing w:after="60"/>
              <w:jc w:val="right"/>
              <w:rPr>
                <w:rFonts w:cs="Arial"/>
                <w:sz w:val="18"/>
                <w:szCs w:val="18"/>
              </w:rPr>
            </w:pPr>
            <w:r w:rsidRPr="00C34024">
              <w:rPr>
                <w:rFonts w:cs="Arial"/>
                <w:color w:val="000000"/>
                <w:sz w:val="18"/>
                <w:szCs w:val="18"/>
              </w:rPr>
              <w:t>5</w:t>
            </w:r>
          </w:p>
        </w:tc>
        <w:tc>
          <w:tcPr>
            <w:tcW w:w="709" w:type="dxa"/>
          </w:tcPr>
          <w:p w14:paraId="3FA96708" w14:textId="644BC142"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650" w:type="dxa"/>
          </w:tcPr>
          <w:p w14:paraId="60E27DF6" w14:textId="00687F19" w:rsidR="00723519" w:rsidRPr="00C34024" w:rsidRDefault="00723519" w:rsidP="00723519">
            <w:pPr>
              <w:spacing w:after="60"/>
              <w:jc w:val="right"/>
              <w:rPr>
                <w:rFonts w:cs="Arial"/>
                <w:color w:val="000000"/>
                <w:sz w:val="18"/>
                <w:szCs w:val="18"/>
              </w:rPr>
            </w:pPr>
            <w:r w:rsidRPr="00C34024">
              <w:rPr>
                <w:rFonts w:cs="Arial"/>
                <w:color w:val="000000"/>
                <w:sz w:val="18"/>
                <w:szCs w:val="18"/>
              </w:rPr>
              <w:t>0</w:t>
            </w:r>
          </w:p>
        </w:tc>
        <w:tc>
          <w:tcPr>
            <w:tcW w:w="748" w:type="dxa"/>
          </w:tcPr>
          <w:p w14:paraId="6C074152" w14:textId="1B8B4CF8" w:rsidR="00723519" w:rsidRPr="00C34024" w:rsidRDefault="00723519" w:rsidP="00723519">
            <w:pPr>
              <w:spacing w:after="60"/>
              <w:jc w:val="right"/>
              <w:rPr>
                <w:rFonts w:cs="Arial"/>
                <w:b/>
                <w:bCs/>
                <w:sz w:val="18"/>
                <w:szCs w:val="18"/>
              </w:rPr>
            </w:pPr>
            <w:r w:rsidRPr="00C34024">
              <w:rPr>
                <w:rFonts w:cs="Arial"/>
                <w:color w:val="000000"/>
                <w:sz w:val="18"/>
                <w:szCs w:val="18"/>
              </w:rPr>
              <w:t>25</w:t>
            </w:r>
          </w:p>
        </w:tc>
      </w:tr>
      <w:tr w:rsidR="00723519" w:rsidRPr="00224AA8" w14:paraId="5B74D4A5" w14:textId="77777777" w:rsidTr="00754DA1">
        <w:tc>
          <w:tcPr>
            <w:tcW w:w="2099" w:type="dxa"/>
            <w:vAlign w:val="center"/>
          </w:tcPr>
          <w:p w14:paraId="6051CB29" w14:textId="77777777" w:rsidR="00723519" w:rsidRPr="00775719" w:rsidRDefault="00723519" w:rsidP="00723519">
            <w:pPr>
              <w:spacing w:after="60"/>
              <w:rPr>
                <w:rFonts w:cstheme="minorBidi"/>
                <w:sz w:val="18"/>
                <w:szCs w:val="18"/>
              </w:rPr>
            </w:pPr>
            <w:r w:rsidRPr="00775719">
              <w:rPr>
                <w:rFonts w:cstheme="minorBidi"/>
                <w:sz w:val="18"/>
                <w:szCs w:val="18"/>
              </w:rPr>
              <w:t>I need help to support my children</w:t>
            </w:r>
          </w:p>
        </w:tc>
        <w:tc>
          <w:tcPr>
            <w:tcW w:w="713" w:type="dxa"/>
          </w:tcPr>
          <w:p w14:paraId="3CEBBE55" w14:textId="0EBC6563" w:rsidR="00723519" w:rsidRPr="00C34024" w:rsidRDefault="00723519" w:rsidP="00723519">
            <w:pPr>
              <w:spacing w:after="60"/>
              <w:jc w:val="right"/>
              <w:rPr>
                <w:rFonts w:cs="Arial"/>
                <w:sz w:val="18"/>
                <w:szCs w:val="18"/>
              </w:rPr>
            </w:pPr>
            <w:r w:rsidRPr="00C34024">
              <w:rPr>
                <w:rFonts w:cs="Arial"/>
                <w:color w:val="000000"/>
                <w:sz w:val="18"/>
                <w:szCs w:val="18"/>
              </w:rPr>
              <w:t>3</w:t>
            </w:r>
          </w:p>
        </w:tc>
        <w:tc>
          <w:tcPr>
            <w:tcW w:w="715" w:type="dxa"/>
          </w:tcPr>
          <w:p w14:paraId="3AF1A5EF" w14:textId="0E414F1B" w:rsidR="00723519" w:rsidRPr="00C34024" w:rsidRDefault="00723519" w:rsidP="00723519">
            <w:pPr>
              <w:spacing w:after="60"/>
              <w:jc w:val="right"/>
              <w:rPr>
                <w:rFonts w:cs="Arial"/>
                <w:sz w:val="18"/>
                <w:szCs w:val="18"/>
              </w:rPr>
            </w:pPr>
            <w:r w:rsidRPr="00C34024">
              <w:rPr>
                <w:rFonts w:cs="Arial"/>
                <w:color w:val="000000"/>
                <w:sz w:val="18"/>
                <w:szCs w:val="18"/>
              </w:rPr>
              <w:t>14</w:t>
            </w:r>
          </w:p>
        </w:tc>
        <w:tc>
          <w:tcPr>
            <w:tcW w:w="715" w:type="dxa"/>
          </w:tcPr>
          <w:p w14:paraId="6377A09B" w14:textId="460A2D3A" w:rsidR="00723519" w:rsidRPr="00C34024" w:rsidRDefault="00723519" w:rsidP="00723519">
            <w:pPr>
              <w:spacing w:after="60"/>
              <w:jc w:val="right"/>
              <w:rPr>
                <w:rFonts w:cs="Arial"/>
                <w:sz w:val="18"/>
                <w:szCs w:val="18"/>
              </w:rPr>
            </w:pPr>
            <w:r w:rsidRPr="00C34024">
              <w:rPr>
                <w:rFonts w:cs="Arial"/>
                <w:color w:val="000000"/>
                <w:sz w:val="18"/>
                <w:szCs w:val="18"/>
              </w:rPr>
              <w:t>6</w:t>
            </w:r>
          </w:p>
        </w:tc>
        <w:tc>
          <w:tcPr>
            <w:tcW w:w="715" w:type="dxa"/>
          </w:tcPr>
          <w:p w14:paraId="7F5951E4" w14:textId="37DABD25" w:rsidR="00723519" w:rsidRPr="00C34024" w:rsidRDefault="00723519" w:rsidP="00723519">
            <w:pPr>
              <w:spacing w:after="60"/>
              <w:jc w:val="right"/>
              <w:rPr>
                <w:rFonts w:cs="Arial"/>
                <w:sz w:val="18"/>
                <w:szCs w:val="18"/>
              </w:rPr>
            </w:pPr>
            <w:r w:rsidRPr="00C34024">
              <w:rPr>
                <w:rFonts w:cs="Arial"/>
                <w:color w:val="000000"/>
                <w:sz w:val="18"/>
                <w:szCs w:val="18"/>
              </w:rPr>
              <w:t>4</w:t>
            </w:r>
          </w:p>
        </w:tc>
        <w:tc>
          <w:tcPr>
            <w:tcW w:w="715" w:type="dxa"/>
          </w:tcPr>
          <w:p w14:paraId="20A79423" w14:textId="07EBE7BF"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715" w:type="dxa"/>
          </w:tcPr>
          <w:p w14:paraId="57EAC360" w14:textId="53E132D2"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709" w:type="dxa"/>
          </w:tcPr>
          <w:p w14:paraId="645630B6" w14:textId="7CC97EBF" w:rsidR="00723519" w:rsidRPr="00C34024" w:rsidRDefault="00723519" w:rsidP="00723519">
            <w:pPr>
              <w:spacing w:after="60"/>
              <w:jc w:val="right"/>
              <w:rPr>
                <w:rFonts w:cs="Arial"/>
                <w:sz w:val="18"/>
                <w:szCs w:val="18"/>
              </w:rPr>
            </w:pPr>
            <w:r w:rsidRPr="00C34024">
              <w:rPr>
                <w:rFonts w:cs="Arial"/>
                <w:color w:val="000000"/>
                <w:sz w:val="18"/>
                <w:szCs w:val="18"/>
              </w:rPr>
              <w:t>2</w:t>
            </w:r>
          </w:p>
        </w:tc>
        <w:tc>
          <w:tcPr>
            <w:tcW w:w="650" w:type="dxa"/>
          </w:tcPr>
          <w:p w14:paraId="5997931A" w14:textId="6452B7EF" w:rsidR="00723519" w:rsidRPr="00C34024" w:rsidRDefault="00723519" w:rsidP="00723519">
            <w:pPr>
              <w:spacing w:after="60"/>
              <w:jc w:val="right"/>
              <w:rPr>
                <w:rFonts w:cs="Arial"/>
                <w:color w:val="000000"/>
                <w:sz w:val="18"/>
                <w:szCs w:val="18"/>
              </w:rPr>
            </w:pPr>
            <w:r w:rsidRPr="00C34024">
              <w:rPr>
                <w:rFonts w:cs="Arial"/>
                <w:color w:val="000000"/>
                <w:sz w:val="18"/>
                <w:szCs w:val="18"/>
              </w:rPr>
              <w:t>0</w:t>
            </w:r>
          </w:p>
        </w:tc>
        <w:tc>
          <w:tcPr>
            <w:tcW w:w="748" w:type="dxa"/>
          </w:tcPr>
          <w:p w14:paraId="26F3363F" w14:textId="16AEFED1" w:rsidR="00723519" w:rsidRPr="00C34024" w:rsidRDefault="00723519" w:rsidP="00723519">
            <w:pPr>
              <w:spacing w:after="60"/>
              <w:jc w:val="right"/>
              <w:rPr>
                <w:rFonts w:cs="Arial"/>
                <w:b/>
                <w:bCs/>
                <w:sz w:val="18"/>
                <w:szCs w:val="18"/>
              </w:rPr>
            </w:pPr>
            <w:r w:rsidRPr="00C34024">
              <w:rPr>
                <w:rFonts w:cs="Arial"/>
                <w:color w:val="000000"/>
                <w:sz w:val="18"/>
                <w:szCs w:val="18"/>
              </w:rPr>
              <w:t>31</w:t>
            </w:r>
          </w:p>
        </w:tc>
      </w:tr>
      <w:tr w:rsidR="00723519" w:rsidRPr="00224AA8" w14:paraId="45CF805F" w14:textId="77777777" w:rsidTr="00754DA1">
        <w:tc>
          <w:tcPr>
            <w:tcW w:w="2099" w:type="dxa"/>
            <w:vAlign w:val="center"/>
          </w:tcPr>
          <w:p w14:paraId="2C0E9BE7" w14:textId="77777777" w:rsidR="00723519" w:rsidRPr="00775719" w:rsidRDefault="00723519" w:rsidP="00723519">
            <w:pPr>
              <w:spacing w:after="60"/>
              <w:rPr>
                <w:rFonts w:cstheme="minorBidi"/>
                <w:sz w:val="18"/>
                <w:szCs w:val="18"/>
              </w:rPr>
            </w:pPr>
            <w:r w:rsidRPr="00775719">
              <w:rPr>
                <w:rFonts w:cstheme="minorBidi"/>
                <w:sz w:val="18"/>
                <w:szCs w:val="18"/>
              </w:rPr>
              <w:t>I need help to support my family</w:t>
            </w:r>
          </w:p>
        </w:tc>
        <w:tc>
          <w:tcPr>
            <w:tcW w:w="713" w:type="dxa"/>
          </w:tcPr>
          <w:p w14:paraId="477FBE37" w14:textId="07FF865C" w:rsidR="00723519" w:rsidRPr="00C34024" w:rsidRDefault="00723519" w:rsidP="00723519">
            <w:pPr>
              <w:spacing w:after="60"/>
              <w:jc w:val="right"/>
              <w:rPr>
                <w:rFonts w:cs="Arial"/>
                <w:sz w:val="18"/>
                <w:szCs w:val="18"/>
              </w:rPr>
            </w:pPr>
            <w:r w:rsidRPr="00C34024">
              <w:rPr>
                <w:rFonts w:cs="Arial"/>
                <w:color w:val="000000"/>
                <w:sz w:val="18"/>
                <w:szCs w:val="18"/>
              </w:rPr>
              <w:t>4</w:t>
            </w:r>
          </w:p>
        </w:tc>
        <w:tc>
          <w:tcPr>
            <w:tcW w:w="715" w:type="dxa"/>
          </w:tcPr>
          <w:p w14:paraId="0AB120E5" w14:textId="478884F6" w:rsidR="00723519" w:rsidRPr="00C34024" w:rsidRDefault="00723519" w:rsidP="00723519">
            <w:pPr>
              <w:spacing w:after="60"/>
              <w:jc w:val="right"/>
              <w:rPr>
                <w:rFonts w:cs="Arial"/>
                <w:sz w:val="18"/>
                <w:szCs w:val="18"/>
              </w:rPr>
            </w:pPr>
            <w:r w:rsidRPr="00C34024">
              <w:rPr>
                <w:rFonts w:cs="Arial"/>
                <w:color w:val="000000"/>
                <w:sz w:val="18"/>
                <w:szCs w:val="18"/>
              </w:rPr>
              <w:t>10</w:t>
            </w:r>
          </w:p>
        </w:tc>
        <w:tc>
          <w:tcPr>
            <w:tcW w:w="715" w:type="dxa"/>
          </w:tcPr>
          <w:p w14:paraId="4847ADA9" w14:textId="4F0E499D" w:rsidR="00723519" w:rsidRPr="00C34024" w:rsidRDefault="00723519" w:rsidP="00723519">
            <w:pPr>
              <w:spacing w:after="60"/>
              <w:jc w:val="right"/>
              <w:rPr>
                <w:rFonts w:cs="Arial"/>
                <w:sz w:val="18"/>
                <w:szCs w:val="18"/>
              </w:rPr>
            </w:pPr>
            <w:r w:rsidRPr="00C34024">
              <w:rPr>
                <w:rFonts w:cs="Arial"/>
                <w:color w:val="000000"/>
                <w:sz w:val="18"/>
                <w:szCs w:val="18"/>
              </w:rPr>
              <w:t>5</w:t>
            </w:r>
          </w:p>
        </w:tc>
        <w:tc>
          <w:tcPr>
            <w:tcW w:w="715" w:type="dxa"/>
          </w:tcPr>
          <w:p w14:paraId="00DDF647" w14:textId="7190E1C1" w:rsidR="00723519" w:rsidRPr="00C34024" w:rsidRDefault="00723519" w:rsidP="00723519">
            <w:pPr>
              <w:spacing w:after="60"/>
              <w:jc w:val="right"/>
              <w:rPr>
                <w:rFonts w:cs="Arial"/>
                <w:sz w:val="18"/>
                <w:szCs w:val="18"/>
              </w:rPr>
            </w:pPr>
            <w:r w:rsidRPr="00C34024">
              <w:rPr>
                <w:rFonts w:cs="Arial"/>
                <w:color w:val="000000"/>
                <w:sz w:val="18"/>
                <w:szCs w:val="18"/>
              </w:rPr>
              <w:t>3</w:t>
            </w:r>
          </w:p>
        </w:tc>
        <w:tc>
          <w:tcPr>
            <w:tcW w:w="715" w:type="dxa"/>
          </w:tcPr>
          <w:p w14:paraId="5E3DB903" w14:textId="2EA1838F" w:rsidR="00723519" w:rsidRPr="00C34024" w:rsidRDefault="00723519" w:rsidP="00723519">
            <w:pPr>
              <w:spacing w:after="60"/>
              <w:jc w:val="right"/>
              <w:rPr>
                <w:rFonts w:cs="Arial"/>
                <w:sz w:val="18"/>
                <w:szCs w:val="18"/>
              </w:rPr>
            </w:pPr>
            <w:r w:rsidRPr="00C34024">
              <w:rPr>
                <w:rFonts w:cs="Arial"/>
                <w:color w:val="000000"/>
                <w:sz w:val="18"/>
                <w:szCs w:val="18"/>
              </w:rPr>
              <w:t>0</w:t>
            </w:r>
          </w:p>
        </w:tc>
        <w:tc>
          <w:tcPr>
            <w:tcW w:w="715" w:type="dxa"/>
          </w:tcPr>
          <w:p w14:paraId="00EFA347" w14:textId="2211FB31" w:rsidR="00723519" w:rsidRPr="00C34024" w:rsidRDefault="00723519" w:rsidP="00723519">
            <w:pPr>
              <w:spacing w:after="60"/>
              <w:jc w:val="right"/>
              <w:rPr>
                <w:rFonts w:cs="Arial"/>
                <w:sz w:val="18"/>
                <w:szCs w:val="18"/>
              </w:rPr>
            </w:pPr>
            <w:r w:rsidRPr="00C34024">
              <w:rPr>
                <w:rFonts w:cs="Arial"/>
                <w:color w:val="000000"/>
                <w:sz w:val="18"/>
                <w:szCs w:val="18"/>
              </w:rPr>
              <w:t>3</w:t>
            </w:r>
          </w:p>
        </w:tc>
        <w:tc>
          <w:tcPr>
            <w:tcW w:w="709" w:type="dxa"/>
          </w:tcPr>
          <w:p w14:paraId="04578B0D" w14:textId="3688664D" w:rsidR="00723519" w:rsidRPr="00C34024" w:rsidRDefault="00723519" w:rsidP="00723519">
            <w:pPr>
              <w:spacing w:after="60"/>
              <w:jc w:val="right"/>
              <w:rPr>
                <w:rFonts w:cs="Arial"/>
                <w:sz w:val="18"/>
                <w:szCs w:val="18"/>
              </w:rPr>
            </w:pPr>
            <w:r w:rsidRPr="00C34024">
              <w:rPr>
                <w:rFonts w:cs="Arial"/>
                <w:color w:val="000000"/>
                <w:sz w:val="18"/>
                <w:szCs w:val="18"/>
              </w:rPr>
              <w:t>1</w:t>
            </w:r>
          </w:p>
        </w:tc>
        <w:tc>
          <w:tcPr>
            <w:tcW w:w="650" w:type="dxa"/>
          </w:tcPr>
          <w:p w14:paraId="2D7E244D" w14:textId="303FA8D0" w:rsidR="00723519" w:rsidRPr="00C34024" w:rsidRDefault="00723519" w:rsidP="00723519">
            <w:pPr>
              <w:spacing w:after="60"/>
              <w:jc w:val="right"/>
              <w:rPr>
                <w:rFonts w:cs="Arial"/>
                <w:color w:val="000000"/>
                <w:sz w:val="18"/>
                <w:szCs w:val="18"/>
              </w:rPr>
            </w:pPr>
            <w:r w:rsidRPr="00C34024">
              <w:rPr>
                <w:rFonts w:cs="Arial"/>
                <w:color w:val="000000"/>
                <w:sz w:val="18"/>
                <w:szCs w:val="18"/>
              </w:rPr>
              <w:t>0</w:t>
            </w:r>
          </w:p>
        </w:tc>
        <w:tc>
          <w:tcPr>
            <w:tcW w:w="748" w:type="dxa"/>
          </w:tcPr>
          <w:p w14:paraId="5B43743F" w14:textId="3ABE66E5" w:rsidR="00723519" w:rsidRPr="00C34024" w:rsidRDefault="00723519" w:rsidP="00723519">
            <w:pPr>
              <w:spacing w:after="60"/>
              <w:jc w:val="right"/>
              <w:rPr>
                <w:rFonts w:cs="Arial"/>
                <w:b/>
                <w:bCs/>
                <w:sz w:val="18"/>
                <w:szCs w:val="18"/>
              </w:rPr>
            </w:pPr>
            <w:r w:rsidRPr="00C34024">
              <w:rPr>
                <w:rFonts w:cs="Arial"/>
                <w:color w:val="000000"/>
                <w:sz w:val="18"/>
                <w:szCs w:val="18"/>
              </w:rPr>
              <w:t>26</w:t>
            </w:r>
          </w:p>
        </w:tc>
      </w:tr>
      <w:tr w:rsidR="00723519" w:rsidRPr="00224AA8" w14:paraId="2D259404" w14:textId="77777777" w:rsidTr="00754DA1">
        <w:tc>
          <w:tcPr>
            <w:tcW w:w="2099" w:type="dxa"/>
            <w:vAlign w:val="center"/>
          </w:tcPr>
          <w:p w14:paraId="447C98D3" w14:textId="77777777" w:rsidR="00723519" w:rsidRPr="00775719" w:rsidRDefault="00723519" w:rsidP="00723519">
            <w:pPr>
              <w:spacing w:after="60"/>
              <w:rPr>
                <w:rFonts w:cstheme="minorBidi"/>
                <w:sz w:val="18"/>
                <w:szCs w:val="18"/>
              </w:rPr>
            </w:pPr>
            <w:r w:rsidRPr="00775719">
              <w:rPr>
                <w:rFonts w:cstheme="minorBidi"/>
                <w:sz w:val="18"/>
                <w:szCs w:val="18"/>
              </w:rPr>
              <w:t>I need support for myself</w:t>
            </w:r>
          </w:p>
        </w:tc>
        <w:tc>
          <w:tcPr>
            <w:tcW w:w="713" w:type="dxa"/>
          </w:tcPr>
          <w:p w14:paraId="7AFFA819" w14:textId="4433F28A" w:rsidR="00723519" w:rsidRPr="00C34024" w:rsidRDefault="00723519" w:rsidP="00723519">
            <w:pPr>
              <w:spacing w:after="60"/>
              <w:jc w:val="right"/>
              <w:rPr>
                <w:rFonts w:cs="Arial"/>
                <w:sz w:val="18"/>
                <w:szCs w:val="18"/>
              </w:rPr>
            </w:pPr>
            <w:r w:rsidRPr="00C34024">
              <w:rPr>
                <w:rFonts w:cs="Arial"/>
                <w:color w:val="000000"/>
                <w:sz w:val="18"/>
                <w:szCs w:val="18"/>
              </w:rPr>
              <w:t>6</w:t>
            </w:r>
          </w:p>
        </w:tc>
        <w:tc>
          <w:tcPr>
            <w:tcW w:w="715" w:type="dxa"/>
          </w:tcPr>
          <w:p w14:paraId="3CE0B1EE" w14:textId="6342219F" w:rsidR="00723519" w:rsidRPr="00C34024" w:rsidRDefault="00723519" w:rsidP="00723519">
            <w:pPr>
              <w:spacing w:after="60"/>
              <w:jc w:val="right"/>
              <w:rPr>
                <w:rFonts w:cs="Arial"/>
                <w:sz w:val="18"/>
                <w:szCs w:val="18"/>
              </w:rPr>
            </w:pPr>
            <w:r w:rsidRPr="00C34024">
              <w:rPr>
                <w:rFonts w:cs="Arial"/>
                <w:color w:val="000000"/>
                <w:sz w:val="18"/>
                <w:szCs w:val="18"/>
              </w:rPr>
              <w:t>21</w:t>
            </w:r>
          </w:p>
        </w:tc>
        <w:tc>
          <w:tcPr>
            <w:tcW w:w="715" w:type="dxa"/>
          </w:tcPr>
          <w:p w14:paraId="1316D234" w14:textId="4B703078" w:rsidR="00723519" w:rsidRPr="00C34024" w:rsidRDefault="00723519" w:rsidP="00723519">
            <w:pPr>
              <w:spacing w:after="60"/>
              <w:jc w:val="right"/>
              <w:rPr>
                <w:rFonts w:cs="Arial"/>
                <w:sz w:val="18"/>
                <w:szCs w:val="18"/>
              </w:rPr>
            </w:pPr>
            <w:r w:rsidRPr="00C34024">
              <w:rPr>
                <w:rFonts w:cs="Arial"/>
                <w:color w:val="000000"/>
                <w:sz w:val="18"/>
                <w:szCs w:val="18"/>
              </w:rPr>
              <w:t>15</w:t>
            </w:r>
          </w:p>
        </w:tc>
        <w:tc>
          <w:tcPr>
            <w:tcW w:w="715" w:type="dxa"/>
          </w:tcPr>
          <w:p w14:paraId="6D8AC717" w14:textId="6615D4C6" w:rsidR="00723519" w:rsidRPr="00C34024" w:rsidRDefault="00723519" w:rsidP="00723519">
            <w:pPr>
              <w:spacing w:after="60"/>
              <w:jc w:val="right"/>
              <w:rPr>
                <w:rFonts w:cs="Arial"/>
                <w:sz w:val="18"/>
                <w:szCs w:val="18"/>
              </w:rPr>
            </w:pPr>
            <w:r w:rsidRPr="00C34024">
              <w:rPr>
                <w:rFonts w:cs="Arial"/>
                <w:color w:val="000000"/>
                <w:sz w:val="18"/>
                <w:szCs w:val="18"/>
              </w:rPr>
              <w:t>12</w:t>
            </w:r>
          </w:p>
        </w:tc>
        <w:tc>
          <w:tcPr>
            <w:tcW w:w="715" w:type="dxa"/>
          </w:tcPr>
          <w:p w14:paraId="0004B206" w14:textId="3A8C1608" w:rsidR="00723519" w:rsidRPr="00C34024" w:rsidRDefault="00723519" w:rsidP="00723519">
            <w:pPr>
              <w:spacing w:after="60"/>
              <w:jc w:val="right"/>
              <w:rPr>
                <w:rFonts w:cs="Arial"/>
                <w:sz w:val="18"/>
                <w:szCs w:val="18"/>
              </w:rPr>
            </w:pPr>
            <w:r w:rsidRPr="00C34024">
              <w:rPr>
                <w:rFonts w:cs="Arial"/>
                <w:color w:val="000000"/>
                <w:sz w:val="18"/>
                <w:szCs w:val="18"/>
              </w:rPr>
              <w:t>14</w:t>
            </w:r>
          </w:p>
        </w:tc>
        <w:tc>
          <w:tcPr>
            <w:tcW w:w="715" w:type="dxa"/>
          </w:tcPr>
          <w:p w14:paraId="4F2E3C9D" w14:textId="52559DEC" w:rsidR="00723519" w:rsidRPr="00C34024" w:rsidRDefault="00723519" w:rsidP="00723519">
            <w:pPr>
              <w:spacing w:after="60"/>
              <w:jc w:val="right"/>
              <w:rPr>
                <w:rFonts w:cs="Arial"/>
                <w:sz w:val="18"/>
                <w:szCs w:val="18"/>
              </w:rPr>
            </w:pPr>
            <w:r w:rsidRPr="00C34024">
              <w:rPr>
                <w:rFonts w:cs="Arial"/>
                <w:color w:val="000000"/>
                <w:sz w:val="18"/>
                <w:szCs w:val="18"/>
              </w:rPr>
              <w:t>8</w:t>
            </w:r>
          </w:p>
        </w:tc>
        <w:tc>
          <w:tcPr>
            <w:tcW w:w="709" w:type="dxa"/>
          </w:tcPr>
          <w:p w14:paraId="3BD821DD" w14:textId="2103584D" w:rsidR="00723519" w:rsidRPr="00C34024" w:rsidRDefault="00723519" w:rsidP="00723519">
            <w:pPr>
              <w:spacing w:after="60"/>
              <w:jc w:val="right"/>
              <w:rPr>
                <w:rFonts w:cs="Arial"/>
                <w:sz w:val="18"/>
                <w:szCs w:val="18"/>
              </w:rPr>
            </w:pPr>
            <w:r w:rsidRPr="00C34024">
              <w:rPr>
                <w:rFonts w:cs="Arial"/>
                <w:color w:val="000000"/>
                <w:sz w:val="18"/>
                <w:szCs w:val="18"/>
              </w:rPr>
              <w:t>3</w:t>
            </w:r>
          </w:p>
        </w:tc>
        <w:tc>
          <w:tcPr>
            <w:tcW w:w="650" w:type="dxa"/>
          </w:tcPr>
          <w:p w14:paraId="6D97DFEB" w14:textId="198C37B1" w:rsidR="00723519" w:rsidRPr="00C34024" w:rsidRDefault="00723519" w:rsidP="00723519">
            <w:pPr>
              <w:spacing w:after="60"/>
              <w:jc w:val="right"/>
              <w:rPr>
                <w:rFonts w:cs="Arial"/>
                <w:color w:val="000000"/>
                <w:sz w:val="18"/>
                <w:szCs w:val="18"/>
              </w:rPr>
            </w:pPr>
            <w:r w:rsidRPr="00C34024">
              <w:rPr>
                <w:rFonts w:cs="Arial"/>
                <w:color w:val="000000"/>
                <w:sz w:val="18"/>
                <w:szCs w:val="18"/>
              </w:rPr>
              <w:t>1</w:t>
            </w:r>
          </w:p>
        </w:tc>
        <w:tc>
          <w:tcPr>
            <w:tcW w:w="748" w:type="dxa"/>
          </w:tcPr>
          <w:p w14:paraId="767622E5" w14:textId="680B4288" w:rsidR="00723519" w:rsidRPr="00C34024" w:rsidRDefault="00723519" w:rsidP="00723519">
            <w:pPr>
              <w:spacing w:after="60"/>
              <w:jc w:val="right"/>
              <w:rPr>
                <w:rFonts w:cs="Arial"/>
                <w:b/>
                <w:bCs/>
                <w:sz w:val="18"/>
                <w:szCs w:val="18"/>
              </w:rPr>
            </w:pPr>
            <w:r w:rsidRPr="00C34024">
              <w:rPr>
                <w:rFonts w:cs="Arial"/>
                <w:color w:val="000000"/>
                <w:sz w:val="18"/>
                <w:szCs w:val="18"/>
              </w:rPr>
              <w:t>80</w:t>
            </w:r>
          </w:p>
        </w:tc>
      </w:tr>
      <w:tr w:rsidR="00723519" w:rsidRPr="00224AA8" w14:paraId="5D9F562B" w14:textId="77777777" w:rsidTr="00754DA1">
        <w:tc>
          <w:tcPr>
            <w:tcW w:w="2099" w:type="dxa"/>
            <w:vAlign w:val="center"/>
          </w:tcPr>
          <w:p w14:paraId="15AC3BCA" w14:textId="77777777" w:rsidR="00723519" w:rsidRPr="00775719" w:rsidRDefault="00723519" w:rsidP="00723519">
            <w:pPr>
              <w:spacing w:after="60"/>
              <w:rPr>
                <w:rFonts w:cstheme="minorBidi"/>
                <w:b/>
                <w:bCs/>
                <w:sz w:val="18"/>
                <w:szCs w:val="18"/>
              </w:rPr>
            </w:pPr>
            <w:r w:rsidRPr="00775719">
              <w:rPr>
                <w:rFonts w:cstheme="minorBidi"/>
                <w:b/>
                <w:bCs/>
                <w:sz w:val="18"/>
                <w:szCs w:val="18"/>
              </w:rPr>
              <w:t>Total</w:t>
            </w:r>
          </w:p>
        </w:tc>
        <w:tc>
          <w:tcPr>
            <w:tcW w:w="713" w:type="dxa"/>
          </w:tcPr>
          <w:p w14:paraId="0B7E8229" w14:textId="2638E401" w:rsidR="00723519" w:rsidRPr="00C34024" w:rsidRDefault="00723519" w:rsidP="00723519">
            <w:pPr>
              <w:spacing w:after="60"/>
              <w:jc w:val="right"/>
              <w:rPr>
                <w:rFonts w:cs="Arial"/>
                <w:b/>
                <w:bCs/>
                <w:sz w:val="18"/>
                <w:szCs w:val="18"/>
              </w:rPr>
            </w:pPr>
            <w:r w:rsidRPr="00C34024">
              <w:rPr>
                <w:rFonts w:cs="Arial"/>
                <w:b/>
                <w:bCs/>
                <w:color w:val="000000"/>
                <w:sz w:val="18"/>
                <w:szCs w:val="18"/>
              </w:rPr>
              <w:t>14</w:t>
            </w:r>
          </w:p>
        </w:tc>
        <w:tc>
          <w:tcPr>
            <w:tcW w:w="715" w:type="dxa"/>
          </w:tcPr>
          <w:p w14:paraId="0F542734" w14:textId="7A84EF4D" w:rsidR="00723519" w:rsidRPr="00C34024" w:rsidRDefault="00723519" w:rsidP="00723519">
            <w:pPr>
              <w:spacing w:after="60"/>
              <w:jc w:val="right"/>
              <w:rPr>
                <w:rFonts w:cs="Arial"/>
                <w:b/>
                <w:bCs/>
                <w:sz w:val="18"/>
                <w:szCs w:val="18"/>
              </w:rPr>
            </w:pPr>
            <w:r w:rsidRPr="00C34024">
              <w:rPr>
                <w:rFonts w:cs="Arial"/>
                <w:b/>
                <w:bCs/>
                <w:color w:val="000000"/>
                <w:sz w:val="18"/>
                <w:szCs w:val="18"/>
              </w:rPr>
              <w:t>52</w:t>
            </w:r>
          </w:p>
        </w:tc>
        <w:tc>
          <w:tcPr>
            <w:tcW w:w="715" w:type="dxa"/>
          </w:tcPr>
          <w:p w14:paraId="2A70B43C" w14:textId="40A54993" w:rsidR="00723519" w:rsidRPr="00C34024" w:rsidRDefault="00723519" w:rsidP="00723519">
            <w:pPr>
              <w:spacing w:after="60"/>
              <w:jc w:val="right"/>
              <w:rPr>
                <w:rFonts w:cs="Arial"/>
                <w:b/>
                <w:bCs/>
                <w:sz w:val="18"/>
                <w:szCs w:val="18"/>
              </w:rPr>
            </w:pPr>
            <w:r w:rsidRPr="00C34024">
              <w:rPr>
                <w:rFonts w:cs="Arial"/>
                <w:b/>
                <w:bCs/>
                <w:color w:val="000000"/>
                <w:sz w:val="18"/>
                <w:szCs w:val="18"/>
              </w:rPr>
              <w:t>32</w:t>
            </w:r>
          </w:p>
        </w:tc>
        <w:tc>
          <w:tcPr>
            <w:tcW w:w="715" w:type="dxa"/>
          </w:tcPr>
          <w:p w14:paraId="40BF1A11" w14:textId="656E37B3" w:rsidR="00723519" w:rsidRPr="00C34024" w:rsidRDefault="00723519" w:rsidP="00723519">
            <w:pPr>
              <w:spacing w:after="60"/>
              <w:jc w:val="right"/>
              <w:rPr>
                <w:rFonts w:cs="Arial"/>
                <w:b/>
                <w:bCs/>
                <w:sz w:val="18"/>
                <w:szCs w:val="18"/>
              </w:rPr>
            </w:pPr>
            <w:r w:rsidRPr="00C34024">
              <w:rPr>
                <w:rFonts w:cs="Arial"/>
                <w:b/>
                <w:bCs/>
                <w:color w:val="000000"/>
                <w:sz w:val="18"/>
                <w:szCs w:val="18"/>
              </w:rPr>
              <w:t>21</w:t>
            </w:r>
          </w:p>
        </w:tc>
        <w:tc>
          <w:tcPr>
            <w:tcW w:w="715" w:type="dxa"/>
          </w:tcPr>
          <w:p w14:paraId="7E57E7D2" w14:textId="6ADE77CE" w:rsidR="00723519" w:rsidRPr="00C34024" w:rsidRDefault="00723519" w:rsidP="00723519">
            <w:pPr>
              <w:spacing w:after="60"/>
              <w:jc w:val="right"/>
              <w:rPr>
                <w:rFonts w:cs="Arial"/>
                <w:b/>
                <w:bCs/>
                <w:sz w:val="18"/>
                <w:szCs w:val="18"/>
              </w:rPr>
            </w:pPr>
            <w:r w:rsidRPr="00C34024">
              <w:rPr>
                <w:rFonts w:cs="Arial"/>
                <w:b/>
                <w:bCs/>
                <w:color w:val="000000"/>
                <w:sz w:val="18"/>
                <w:szCs w:val="18"/>
              </w:rPr>
              <w:t>18</w:t>
            </w:r>
          </w:p>
        </w:tc>
        <w:tc>
          <w:tcPr>
            <w:tcW w:w="715" w:type="dxa"/>
          </w:tcPr>
          <w:p w14:paraId="0D6567D7" w14:textId="69C7842C" w:rsidR="00723519" w:rsidRPr="00C34024" w:rsidRDefault="00723519" w:rsidP="00723519">
            <w:pPr>
              <w:spacing w:after="60"/>
              <w:jc w:val="right"/>
              <w:rPr>
                <w:rFonts w:cs="Arial"/>
                <w:b/>
                <w:bCs/>
                <w:sz w:val="18"/>
                <w:szCs w:val="18"/>
              </w:rPr>
            </w:pPr>
            <w:r w:rsidRPr="00C34024">
              <w:rPr>
                <w:rFonts w:cs="Arial"/>
                <w:b/>
                <w:bCs/>
                <w:color w:val="000000"/>
                <w:sz w:val="18"/>
                <w:szCs w:val="18"/>
              </w:rPr>
              <w:t>17</w:t>
            </w:r>
          </w:p>
        </w:tc>
        <w:tc>
          <w:tcPr>
            <w:tcW w:w="709" w:type="dxa"/>
          </w:tcPr>
          <w:p w14:paraId="064D6306" w14:textId="2D2AFE26" w:rsidR="00723519" w:rsidRPr="00C34024" w:rsidRDefault="00723519" w:rsidP="00723519">
            <w:pPr>
              <w:spacing w:after="60"/>
              <w:jc w:val="right"/>
              <w:rPr>
                <w:rFonts w:cs="Arial"/>
                <w:b/>
                <w:bCs/>
                <w:sz w:val="18"/>
                <w:szCs w:val="18"/>
              </w:rPr>
            </w:pPr>
            <w:r w:rsidRPr="00C34024">
              <w:rPr>
                <w:rFonts w:cs="Arial"/>
                <w:b/>
                <w:bCs/>
                <w:color w:val="000000"/>
                <w:sz w:val="18"/>
                <w:szCs w:val="18"/>
              </w:rPr>
              <w:t>7</w:t>
            </w:r>
          </w:p>
        </w:tc>
        <w:tc>
          <w:tcPr>
            <w:tcW w:w="650" w:type="dxa"/>
          </w:tcPr>
          <w:p w14:paraId="61DC8E55" w14:textId="667847DF" w:rsidR="00723519" w:rsidRPr="00C34024" w:rsidRDefault="00723519" w:rsidP="00723519">
            <w:pPr>
              <w:spacing w:after="60"/>
              <w:jc w:val="right"/>
              <w:rPr>
                <w:rFonts w:cs="Arial"/>
                <w:b/>
                <w:bCs/>
                <w:color w:val="000000"/>
                <w:sz w:val="18"/>
                <w:szCs w:val="18"/>
              </w:rPr>
            </w:pPr>
            <w:r w:rsidRPr="00C34024">
              <w:rPr>
                <w:rFonts w:cs="Arial"/>
                <w:b/>
                <w:bCs/>
                <w:color w:val="000000"/>
                <w:sz w:val="18"/>
                <w:szCs w:val="18"/>
              </w:rPr>
              <w:t>1</w:t>
            </w:r>
          </w:p>
        </w:tc>
        <w:tc>
          <w:tcPr>
            <w:tcW w:w="748" w:type="dxa"/>
          </w:tcPr>
          <w:p w14:paraId="654D32B6" w14:textId="16C043E6" w:rsidR="00723519" w:rsidRPr="00C34024" w:rsidRDefault="00723519" w:rsidP="00723519">
            <w:pPr>
              <w:spacing w:after="60"/>
              <w:jc w:val="right"/>
              <w:rPr>
                <w:rFonts w:cs="Arial"/>
                <w:b/>
                <w:bCs/>
                <w:sz w:val="18"/>
                <w:szCs w:val="18"/>
              </w:rPr>
            </w:pPr>
            <w:r w:rsidRPr="00C34024">
              <w:rPr>
                <w:rFonts w:cs="Arial"/>
                <w:b/>
                <w:bCs/>
                <w:color w:val="000000"/>
                <w:sz w:val="18"/>
                <w:szCs w:val="18"/>
              </w:rPr>
              <w:t>162</w:t>
            </w:r>
          </w:p>
        </w:tc>
      </w:tr>
    </w:tbl>
    <w:p w14:paraId="44B99898" w14:textId="77777777" w:rsidR="00475502" w:rsidRPr="00224AA8" w:rsidRDefault="00475502" w:rsidP="00475502">
      <w:pPr>
        <w:spacing w:after="160" w:line="259" w:lineRule="auto"/>
        <w:rPr>
          <w:iCs/>
        </w:rPr>
      </w:pPr>
    </w:p>
    <w:p w14:paraId="128BE98A" w14:textId="77777777" w:rsidR="00723519" w:rsidRPr="00224AA8" w:rsidRDefault="00723519" w:rsidP="00723519">
      <w:pPr>
        <w:spacing w:after="160" w:line="259" w:lineRule="auto"/>
        <w:rPr>
          <w:iCs/>
        </w:rPr>
      </w:pPr>
      <w:r w:rsidRPr="00B87237">
        <w:rPr>
          <w:iCs/>
        </w:rPr>
        <w:t>The 26-35-year-old age bracket scored the highest for the “I need support for myself”</w:t>
      </w:r>
      <w:r>
        <w:rPr>
          <w:iCs/>
        </w:rPr>
        <w:t>,</w:t>
      </w:r>
      <w:r w:rsidRPr="00B87237">
        <w:rPr>
          <w:iCs/>
        </w:rPr>
        <w:t xml:space="preserve"> “I need help to support my children”</w:t>
      </w:r>
      <w:r>
        <w:rPr>
          <w:iCs/>
        </w:rPr>
        <w:t xml:space="preserve"> and “I need help to support my family”</w:t>
      </w:r>
      <w:r w:rsidRPr="00B87237">
        <w:rPr>
          <w:iCs/>
        </w:rPr>
        <w:t xml:space="preserve"> circumstances followed closely by the 36-45-year-old age bracket</w:t>
      </w:r>
      <w:r>
        <w:rPr>
          <w:iCs/>
        </w:rPr>
        <w:t>,</w:t>
      </w:r>
      <w:r w:rsidRPr="00B87237">
        <w:rPr>
          <w:iCs/>
        </w:rPr>
        <w:t xml:space="preserve"> indicative of the 26-35 and 36-45-year-old age groups having the highest number of members, including children, to feed in a household.</w:t>
      </w:r>
    </w:p>
    <w:p w14:paraId="26972670" w14:textId="77777777" w:rsidR="00475502" w:rsidRPr="00224AA8" w:rsidRDefault="00475502" w:rsidP="00475502">
      <w:pPr>
        <w:pStyle w:val="Heading5"/>
      </w:pPr>
      <w:r w:rsidRPr="00224AA8">
        <w:lastRenderedPageBreak/>
        <w:t>Performance Indicator 3: Strength of mandated interventions decreased</w:t>
      </w:r>
    </w:p>
    <w:p w14:paraId="0FAA63DE" w14:textId="77777777" w:rsidR="00475502" w:rsidRPr="00224AA8" w:rsidRDefault="00475502" w:rsidP="00475502"/>
    <w:p w14:paraId="16C5F293" w14:textId="77777777" w:rsidR="00475502" w:rsidRPr="00224AA8" w:rsidRDefault="00475502" w:rsidP="00475502">
      <w:pPr>
        <w:pStyle w:val="Heading6"/>
      </w:pPr>
      <w:r w:rsidRPr="00224AA8">
        <w:t>FRC decisions are proportionate to individual circumstances</w:t>
      </w:r>
    </w:p>
    <w:p w14:paraId="42F7AA59" w14:textId="77777777" w:rsidR="00475502" w:rsidRPr="00224AA8" w:rsidRDefault="00475502" w:rsidP="00475502">
      <w:r w:rsidRPr="00224AA8">
        <w:t>The FRC model is nuanced and tailored to the needs of each client. Commission decisions are applied proportionate to individual circumstances, for a defined period of no more than 12 months, after which it expires.</w:t>
      </w:r>
    </w:p>
    <w:p w14:paraId="545C4770" w14:textId="79E80C1C" w:rsidR="00C56DF5" w:rsidRPr="00224AA8" w:rsidRDefault="00C56DF5" w:rsidP="00C56DF5">
      <w:r w:rsidRPr="00E42DE4">
        <w:t xml:space="preserve">Graph </w:t>
      </w:r>
      <w:r>
        <w:t>3</w:t>
      </w:r>
      <w:r w:rsidRPr="00E42DE4">
        <w:t xml:space="preserve"> below illustrates the range of all total final decisions made by the Commission (inclusive of decisions made at conference, and voluntary agreements). As a total of all final decisions made by the Commission during 202</w:t>
      </w:r>
      <w:r>
        <w:t>4</w:t>
      </w:r>
      <w:r w:rsidRPr="00E42DE4">
        <w:t>-2</w:t>
      </w:r>
      <w:r>
        <w:t>5</w:t>
      </w:r>
      <w:r w:rsidRPr="00E42DE4">
        <w:t xml:space="preserve">, </w:t>
      </w:r>
      <w:proofErr w:type="gramStart"/>
      <w:r w:rsidRPr="00E42DE4">
        <w:t>the majority of</w:t>
      </w:r>
      <w:proofErr w:type="gramEnd"/>
      <w:r w:rsidRPr="00E42DE4">
        <w:t xml:space="preserve"> decisions (</w:t>
      </w:r>
      <w:r>
        <w:t>58</w:t>
      </w:r>
      <w:r w:rsidRPr="00E42DE4">
        <w:t>%) were made with some form of agreement with the client (voluntary income management, voluntary case plan and decision by agreement for a conditional case plan</w:t>
      </w:r>
      <w:r w:rsidR="00897E5D">
        <w:t>)</w:t>
      </w:r>
      <w:r w:rsidRPr="00E42DE4">
        <w:t>. Conversely, a small proportion of decisions (</w:t>
      </w:r>
      <w:r>
        <w:t>17</w:t>
      </w:r>
      <w:r w:rsidRPr="00E42DE4">
        <w:t>%) could be categorised as ‘mandated interventions’ and were made by the Commission resulting in a client being placed on conditional income management and/or ordered to attend a service provider under a referral from a case plan from a decision.</w:t>
      </w:r>
      <w:r w:rsidRPr="00822F99">
        <w:rPr>
          <w:rStyle w:val="FootnoteReference"/>
        </w:rPr>
        <w:footnoteReference w:id="6"/>
      </w:r>
    </w:p>
    <w:p w14:paraId="19F2508E" w14:textId="77777777" w:rsidR="00475502" w:rsidRPr="00224AA8" w:rsidRDefault="00475502" w:rsidP="00475502"/>
    <w:p w14:paraId="00091ACD" w14:textId="77777777" w:rsidR="00475502" w:rsidRPr="00224AA8" w:rsidRDefault="00475502" w:rsidP="00475502">
      <w:pPr>
        <w:spacing w:after="0"/>
        <w:rPr>
          <w:noProof/>
        </w:rPr>
      </w:pPr>
      <w:r w:rsidRPr="00E42DE4">
        <w:rPr>
          <w:noProof/>
        </w:rPr>
        <w:drawing>
          <wp:anchor distT="0" distB="0" distL="114300" distR="114300" simplePos="0" relativeHeight="251664384" behindDoc="0" locked="0" layoutInCell="1" allowOverlap="1" wp14:anchorId="49201224" wp14:editId="6E64BCA0">
            <wp:simplePos x="0" y="0"/>
            <wp:positionH relativeFrom="margin">
              <wp:align>right</wp:align>
            </wp:positionH>
            <wp:positionV relativeFrom="paragraph">
              <wp:posOffset>104775</wp:posOffset>
            </wp:positionV>
            <wp:extent cx="5400040" cy="3521075"/>
            <wp:effectExtent l="0" t="0" r="0" b="3175"/>
            <wp:wrapSquare wrapText="bothSides"/>
            <wp:docPr id="1238844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521075"/>
                    </a:xfrm>
                    <a:prstGeom prst="rect">
                      <a:avLst/>
                    </a:prstGeom>
                    <a:noFill/>
                    <a:ln>
                      <a:noFill/>
                    </a:ln>
                  </pic:spPr>
                </pic:pic>
              </a:graphicData>
            </a:graphic>
          </wp:anchor>
        </w:drawing>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8494"/>
      </w:tblGrid>
      <w:tr w:rsidR="00475502" w:rsidRPr="00224AA8" w14:paraId="10CBE97B" w14:textId="77777777" w:rsidTr="00754DA1">
        <w:trPr>
          <w:trHeight w:val="454"/>
        </w:trPr>
        <w:tc>
          <w:tcPr>
            <w:tcW w:w="8494" w:type="dxa"/>
            <w:shd w:val="clear" w:color="auto" w:fill="808080" w:themeFill="background1" w:themeFillShade="80"/>
          </w:tcPr>
          <w:p w14:paraId="7855DB53" w14:textId="77777777" w:rsidR="00475502" w:rsidRPr="00224AA8" w:rsidRDefault="00475502" w:rsidP="00754DA1">
            <w:pPr>
              <w:spacing w:before="60" w:after="60"/>
              <w:rPr>
                <w:rFonts w:cs="Arial"/>
                <w:b/>
                <w:bCs/>
                <w:color w:val="FFFFFF" w:themeColor="background1"/>
                <w:sz w:val="17"/>
                <w:szCs w:val="17"/>
              </w:rPr>
            </w:pPr>
            <w:r w:rsidRPr="00224AA8">
              <w:rPr>
                <w:rFonts w:cs="Arial"/>
                <w:b/>
                <w:bCs/>
                <w:color w:val="FFFFFF" w:themeColor="background1"/>
                <w:sz w:val="17"/>
                <w:szCs w:val="17"/>
              </w:rPr>
              <w:t xml:space="preserve">Graph </w:t>
            </w:r>
            <w:r>
              <w:rPr>
                <w:rFonts w:cs="Arial"/>
                <w:b/>
                <w:bCs/>
                <w:color w:val="FFFFFF" w:themeColor="background1"/>
                <w:sz w:val="17"/>
                <w:szCs w:val="17"/>
              </w:rPr>
              <w:t>3</w:t>
            </w:r>
            <w:r w:rsidRPr="00224AA8">
              <w:rPr>
                <w:rFonts w:cs="Arial"/>
                <w:b/>
                <w:bCs/>
                <w:color w:val="FFFFFF" w:themeColor="background1"/>
                <w:sz w:val="17"/>
                <w:szCs w:val="17"/>
              </w:rPr>
              <w:t>: Proportionate decisions 202</w:t>
            </w:r>
            <w:r>
              <w:rPr>
                <w:rFonts w:cs="Arial"/>
                <w:b/>
                <w:bCs/>
                <w:color w:val="FFFFFF" w:themeColor="background1"/>
                <w:sz w:val="17"/>
                <w:szCs w:val="17"/>
              </w:rPr>
              <w:t>4</w:t>
            </w:r>
            <w:r w:rsidRPr="00224AA8">
              <w:rPr>
                <w:rFonts w:cs="Arial"/>
                <w:b/>
                <w:bCs/>
                <w:color w:val="FFFFFF" w:themeColor="background1"/>
                <w:sz w:val="17"/>
                <w:szCs w:val="17"/>
              </w:rPr>
              <w:t>-2</w:t>
            </w:r>
            <w:r>
              <w:rPr>
                <w:rFonts w:cs="Arial"/>
                <w:b/>
                <w:bCs/>
                <w:color w:val="FFFFFF" w:themeColor="background1"/>
                <w:sz w:val="17"/>
                <w:szCs w:val="17"/>
              </w:rPr>
              <w:t>5</w:t>
            </w:r>
          </w:p>
        </w:tc>
      </w:tr>
    </w:tbl>
    <w:p w14:paraId="79C8CB34" w14:textId="77777777" w:rsidR="00475502" w:rsidRPr="00224AA8" w:rsidRDefault="00475502" w:rsidP="00475502"/>
    <w:p w14:paraId="27287A96" w14:textId="13743209" w:rsidR="00475502" w:rsidRPr="00224AA8" w:rsidRDefault="00C56DF5" w:rsidP="00475502">
      <w:r w:rsidRPr="00224AA8">
        <w:t xml:space="preserve">The following table is further evidence of a trend over recent years of clients continuing to take steps towards greater personal responsibility by entering into </w:t>
      </w:r>
      <w:r>
        <w:t xml:space="preserve">voluntary </w:t>
      </w:r>
      <w:r w:rsidRPr="00224AA8">
        <w:t xml:space="preserve">agreements </w:t>
      </w:r>
      <w:r>
        <w:t>for a VCP.</w:t>
      </w:r>
    </w:p>
    <w:p w14:paraId="56F38729" w14:textId="77777777" w:rsidR="00475502" w:rsidRPr="00224AA8" w:rsidRDefault="00475502" w:rsidP="00475502">
      <w:pPr>
        <w:spacing w:after="160" w:line="259" w:lineRule="auto"/>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992"/>
        <w:gridCol w:w="992"/>
        <w:gridCol w:w="993"/>
      </w:tblGrid>
      <w:tr w:rsidR="00475502" w:rsidRPr="00224AA8" w14:paraId="47ACA49E" w14:textId="77777777" w:rsidTr="00754DA1">
        <w:trPr>
          <w:trHeight w:val="300"/>
        </w:trPr>
        <w:tc>
          <w:tcPr>
            <w:tcW w:w="5245" w:type="dxa"/>
            <w:shd w:val="clear" w:color="auto" w:fill="808080" w:themeFill="background1" w:themeFillShade="80"/>
            <w:vAlign w:val="center"/>
          </w:tcPr>
          <w:p w14:paraId="57951259" w14:textId="77777777" w:rsidR="00475502" w:rsidRPr="00224AA8" w:rsidRDefault="00475502" w:rsidP="00754DA1">
            <w:pPr>
              <w:spacing w:before="60" w:after="60"/>
              <w:rPr>
                <w:b/>
                <w:bCs/>
                <w:color w:val="FFFFFF" w:themeColor="background1"/>
              </w:rPr>
            </w:pPr>
            <w:r>
              <w:rPr>
                <w:b/>
                <w:bCs/>
                <w:color w:val="FFFFFF" w:themeColor="background1"/>
              </w:rPr>
              <w:t>Voluntary agreement</w:t>
            </w:r>
          </w:p>
        </w:tc>
        <w:tc>
          <w:tcPr>
            <w:tcW w:w="992" w:type="dxa"/>
            <w:shd w:val="clear" w:color="auto" w:fill="808080" w:themeFill="background1" w:themeFillShade="80"/>
          </w:tcPr>
          <w:p w14:paraId="0CEDD41A" w14:textId="77777777" w:rsidR="00475502" w:rsidRPr="00224AA8" w:rsidRDefault="00475502" w:rsidP="00754DA1">
            <w:pPr>
              <w:spacing w:before="60" w:after="60"/>
              <w:jc w:val="center"/>
              <w:rPr>
                <w:b/>
                <w:bCs/>
                <w:color w:val="FFFFFF" w:themeColor="background1"/>
              </w:rPr>
            </w:pPr>
            <w:r>
              <w:rPr>
                <w:b/>
                <w:bCs/>
                <w:color w:val="FFFFFF" w:themeColor="background1"/>
              </w:rPr>
              <w:t>2022-23</w:t>
            </w:r>
          </w:p>
        </w:tc>
        <w:tc>
          <w:tcPr>
            <w:tcW w:w="992" w:type="dxa"/>
            <w:shd w:val="clear" w:color="auto" w:fill="808080" w:themeFill="background1" w:themeFillShade="80"/>
            <w:vAlign w:val="center"/>
          </w:tcPr>
          <w:p w14:paraId="1AEE8EE9" w14:textId="77777777" w:rsidR="00475502" w:rsidRPr="00224AA8" w:rsidRDefault="00475502" w:rsidP="00754DA1">
            <w:pPr>
              <w:spacing w:before="60" w:after="60"/>
              <w:jc w:val="center"/>
              <w:rPr>
                <w:b/>
                <w:bCs/>
                <w:color w:val="FFFFFF" w:themeColor="background1"/>
              </w:rPr>
            </w:pPr>
            <w:r w:rsidRPr="00224AA8">
              <w:rPr>
                <w:b/>
                <w:bCs/>
                <w:color w:val="FFFFFF" w:themeColor="background1"/>
              </w:rPr>
              <w:t>2023-24</w:t>
            </w:r>
          </w:p>
        </w:tc>
        <w:tc>
          <w:tcPr>
            <w:tcW w:w="993" w:type="dxa"/>
            <w:shd w:val="clear" w:color="auto" w:fill="808080" w:themeFill="background1" w:themeFillShade="80"/>
            <w:vAlign w:val="center"/>
          </w:tcPr>
          <w:p w14:paraId="4CED5397" w14:textId="77777777" w:rsidR="00475502" w:rsidRPr="00224AA8" w:rsidRDefault="00475502" w:rsidP="00754DA1">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r>
      <w:tr w:rsidR="00475502" w:rsidRPr="00224AA8" w14:paraId="1F7F7005" w14:textId="77777777" w:rsidTr="00754DA1">
        <w:trPr>
          <w:trHeight w:val="300"/>
        </w:trPr>
        <w:tc>
          <w:tcPr>
            <w:tcW w:w="5245" w:type="dxa"/>
            <w:vAlign w:val="center"/>
          </w:tcPr>
          <w:p w14:paraId="4534164B" w14:textId="77777777" w:rsidR="00475502" w:rsidRPr="00224AA8" w:rsidRDefault="00475502" w:rsidP="00754DA1">
            <w:pPr>
              <w:spacing w:before="60" w:after="60"/>
            </w:pPr>
            <w:r>
              <w:t>Voluntary agreements to attend community support services</w:t>
            </w:r>
          </w:p>
        </w:tc>
        <w:tc>
          <w:tcPr>
            <w:tcW w:w="992" w:type="dxa"/>
            <w:vAlign w:val="center"/>
          </w:tcPr>
          <w:p w14:paraId="7A480D5D" w14:textId="77777777" w:rsidR="00475502" w:rsidRDefault="00475502" w:rsidP="00754DA1">
            <w:pPr>
              <w:spacing w:before="60" w:after="60"/>
              <w:jc w:val="right"/>
            </w:pPr>
            <w:r>
              <w:t>52</w:t>
            </w:r>
          </w:p>
        </w:tc>
        <w:tc>
          <w:tcPr>
            <w:tcW w:w="992" w:type="dxa"/>
            <w:vAlign w:val="center"/>
          </w:tcPr>
          <w:p w14:paraId="3935ABFC" w14:textId="77777777" w:rsidR="00475502" w:rsidRPr="00224AA8" w:rsidRDefault="00475502" w:rsidP="00754DA1">
            <w:pPr>
              <w:spacing w:before="60" w:after="60"/>
              <w:jc w:val="right"/>
            </w:pPr>
            <w:r>
              <w:t>176</w:t>
            </w:r>
          </w:p>
        </w:tc>
        <w:tc>
          <w:tcPr>
            <w:tcW w:w="993" w:type="dxa"/>
            <w:vAlign w:val="center"/>
          </w:tcPr>
          <w:p w14:paraId="5B13BE7C" w14:textId="77777777" w:rsidR="00475502" w:rsidRPr="00224AA8" w:rsidRDefault="00475502" w:rsidP="00754DA1">
            <w:pPr>
              <w:spacing w:before="60" w:after="60"/>
              <w:jc w:val="right"/>
            </w:pPr>
            <w:r>
              <w:t>183</w:t>
            </w:r>
          </w:p>
        </w:tc>
      </w:tr>
    </w:tbl>
    <w:p w14:paraId="76F9228A" w14:textId="77777777" w:rsidR="00475502" w:rsidRPr="00224AA8" w:rsidRDefault="00475502" w:rsidP="00475502"/>
    <w:p w14:paraId="4EAF0736" w14:textId="77777777" w:rsidR="00475502" w:rsidRPr="00224AA8" w:rsidRDefault="00475502" w:rsidP="00475502">
      <w:pPr>
        <w:pStyle w:val="Heading5"/>
      </w:pPr>
      <w:bookmarkStart w:id="1" w:name="_Hlk178858502"/>
      <w:bookmarkStart w:id="2" w:name="_Hlk178858406"/>
      <w:r w:rsidRPr="00224AA8">
        <w:t>Performance Indicator 4: Increased client engagement with support services to build capacity</w:t>
      </w:r>
    </w:p>
    <w:p w14:paraId="4BB02880" w14:textId="77777777" w:rsidR="00C56DF5" w:rsidRPr="00224AA8" w:rsidRDefault="00C56DF5" w:rsidP="00C56DF5">
      <w:bookmarkStart w:id="3" w:name="_Hlk178858486"/>
      <w:bookmarkEnd w:id="1"/>
      <w:r w:rsidRPr="00224AA8">
        <w:t xml:space="preserve">The FRC is </w:t>
      </w:r>
      <w:r>
        <w:t xml:space="preserve">collaborating </w:t>
      </w:r>
      <w:r w:rsidRPr="00224AA8">
        <w:t>with our partner service providers in FRC communities to find better ways to work together so the needs of our clients are met, to overcome barriers to engagement, and to facilitate the progression of case plans. Some clients require urgent support</w:t>
      </w:r>
      <w:r>
        <w:t>,</w:t>
      </w:r>
      <w:r w:rsidRPr="00224AA8">
        <w:t xml:space="preserve"> with both the FRC and specialist providers on</w:t>
      </w:r>
      <w:r>
        <w:t xml:space="preserve"> </w:t>
      </w:r>
      <w:r w:rsidRPr="00224AA8">
        <w:t xml:space="preserve">hand to help. </w:t>
      </w:r>
      <w:r>
        <w:t>O</w:t>
      </w:r>
      <w:r w:rsidRPr="00224AA8">
        <w:t>ther clients, for example, are best supported through an initial ‘light touch’ approach to engagement</w:t>
      </w:r>
      <w:r>
        <w:t>,</w:t>
      </w:r>
      <w:r w:rsidRPr="00224AA8">
        <w:t xml:space="preserve"> by the FRC facilitating early interactions between clients and service providers, often in culturally safe places elsewhere in the community and not in a clinical setting. We have found this strategy is often the tentative first step needed to help clients form a trusting relationship with service providers and lead to improved outcomes in line with their case plan goals.</w:t>
      </w:r>
    </w:p>
    <w:p w14:paraId="7B8CDD3A" w14:textId="77777777" w:rsidR="00C56DF5" w:rsidRPr="00224AA8" w:rsidRDefault="00C56DF5" w:rsidP="00C56DF5">
      <w:r w:rsidRPr="004654F7">
        <w:t xml:space="preserve">For the </w:t>
      </w:r>
      <w:r>
        <w:t>2024-25</w:t>
      </w:r>
      <w:r w:rsidRPr="004654F7">
        <w:t xml:space="preserve"> financial year the FRC has been recording and collating these interactions. This data reveals there have been </w:t>
      </w:r>
      <w:r>
        <w:t>546</w:t>
      </w:r>
      <w:r w:rsidRPr="004654F7">
        <w:t xml:space="preserve"> occasions where a partner service provider has joined with an FRC staff member or Local Commissioner as part of our CE approach.</w:t>
      </w:r>
    </w:p>
    <w:p w14:paraId="4540CDC4" w14:textId="48B427F8" w:rsidR="00047D6E" w:rsidRPr="00224AA8" w:rsidRDefault="00047D6E" w:rsidP="00047D6E">
      <w:r w:rsidRPr="0055165D">
        <w:t xml:space="preserve">More </w:t>
      </w:r>
      <w:r w:rsidRPr="00F431BA">
        <w:t>information relating to the Commission’s CE approach can be found on pages 1</w:t>
      </w:r>
      <w:r w:rsidR="001C3848" w:rsidRPr="00F431BA">
        <w:t>0</w:t>
      </w:r>
      <w:r w:rsidRPr="00F431BA">
        <w:t>, 2</w:t>
      </w:r>
      <w:r w:rsidR="001C3848" w:rsidRPr="00F431BA">
        <w:t>6</w:t>
      </w:r>
      <w:r w:rsidRPr="00F431BA">
        <w:t>, 2</w:t>
      </w:r>
      <w:r w:rsidR="001C3848" w:rsidRPr="00F431BA">
        <w:t>7</w:t>
      </w:r>
      <w:r w:rsidRPr="00F431BA">
        <w:t xml:space="preserve">, </w:t>
      </w:r>
      <w:r w:rsidR="001C3848" w:rsidRPr="00F431BA">
        <w:t>29</w:t>
      </w:r>
      <w:r w:rsidRPr="00F431BA">
        <w:t>, 3</w:t>
      </w:r>
      <w:r w:rsidR="001C3848" w:rsidRPr="00F431BA">
        <w:t>0</w:t>
      </w:r>
      <w:r w:rsidRPr="00F431BA">
        <w:t>, 5</w:t>
      </w:r>
      <w:r w:rsidR="001C3848" w:rsidRPr="00F431BA">
        <w:t>0</w:t>
      </w:r>
      <w:r w:rsidRPr="00F431BA">
        <w:t xml:space="preserve"> and in each of the Community operations reports for Aurukun, Coen, Doomadgee, Hope Vale and</w:t>
      </w:r>
      <w:r w:rsidRPr="0055165D">
        <w:t xml:space="preserve"> Mossman Gorge. CE data is also a relevant consideration for other performance indicators listed over the next few pages.</w:t>
      </w:r>
    </w:p>
    <w:p w14:paraId="2BE81860" w14:textId="77777777" w:rsidR="00475502" w:rsidRPr="00224AA8" w:rsidRDefault="00475502" w:rsidP="00475502"/>
    <w:bookmarkEnd w:id="2"/>
    <w:bookmarkEnd w:id="3"/>
    <w:p w14:paraId="01FBE908" w14:textId="77777777" w:rsidR="00475502" w:rsidRPr="00224AA8" w:rsidRDefault="00475502" w:rsidP="00475502">
      <w:pPr>
        <w:pStyle w:val="Heading5"/>
      </w:pPr>
      <w:r w:rsidRPr="00224AA8">
        <w:t>Performance Indicator 5: Helping to Close the Gap on disadvantage for our clients in Aurukun, Coen, Doomadgee, Hope Vale and Mossman Gorge</w:t>
      </w:r>
    </w:p>
    <w:p w14:paraId="38277654" w14:textId="77777777" w:rsidR="00475502" w:rsidRPr="00224AA8" w:rsidRDefault="00475502" w:rsidP="00475502">
      <w:r w:rsidRPr="00224AA8">
        <w:t>The Commission continues to develop an appropriate assessment tool to best measure our contribution to Closing the Gap targets across the 4-year term of the Strategic Plan. The FRC hopes to report against this performance indicator in the future.</w:t>
      </w:r>
    </w:p>
    <w:p w14:paraId="5CF3449D" w14:textId="77777777" w:rsidR="00475502" w:rsidRPr="00224AA8" w:rsidRDefault="00475502" w:rsidP="00475502"/>
    <w:p w14:paraId="7B9C328B" w14:textId="77777777" w:rsidR="00475502" w:rsidRPr="00224AA8" w:rsidRDefault="00475502" w:rsidP="00475502">
      <w:r w:rsidRPr="00224AA8">
        <w:br w:type="page"/>
      </w:r>
    </w:p>
    <w:p w14:paraId="324BF3D6" w14:textId="77777777" w:rsidR="00475502" w:rsidRPr="00224AA8" w:rsidRDefault="00475502" w:rsidP="00475502">
      <w:pPr>
        <w:pStyle w:val="Heading3"/>
      </w:pPr>
      <w:r w:rsidRPr="00224AA8">
        <w:lastRenderedPageBreak/>
        <w:t>Strategic objective three</w:t>
      </w:r>
    </w:p>
    <w:p w14:paraId="26D61D9A" w14:textId="77777777" w:rsidR="00475502" w:rsidRPr="00224AA8" w:rsidRDefault="00475502" w:rsidP="00475502">
      <w:r w:rsidRPr="00224AA8">
        <w:t>Create a capable, culturally safe, agile and innovative organisation.</w:t>
      </w:r>
    </w:p>
    <w:p w14:paraId="7F3A7402" w14:textId="77777777" w:rsidR="00475502" w:rsidRPr="00224AA8" w:rsidRDefault="00475502" w:rsidP="00475502"/>
    <w:p w14:paraId="0081737B" w14:textId="77777777" w:rsidR="00475502" w:rsidRPr="00224AA8" w:rsidRDefault="00475502" w:rsidP="00475502">
      <w:pPr>
        <w:pStyle w:val="Heading5"/>
      </w:pPr>
      <w:r w:rsidRPr="00224AA8">
        <w:t>Our achievements</w:t>
      </w:r>
    </w:p>
    <w:p w14:paraId="0137E7D1" w14:textId="77777777" w:rsidR="00475502" w:rsidRPr="00224AA8" w:rsidRDefault="00475502" w:rsidP="00475502">
      <w:r w:rsidRPr="00224AA8">
        <w:t>This objective is achieved through the following strategies:</w:t>
      </w:r>
    </w:p>
    <w:p w14:paraId="58C4DDE5" w14:textId="77777777" w:rsidR="00475502" w:rsidRPr="00224AA8" w:rsidRDefault="00475502" w:rsidP="00475502"/>
    <w:tbl>
      <w:tblPr>
        <w:tblStyle w:val="TableGrid"/>
        <w:tblW w:w="0" w:type="auto"/>
        <w:tblBorders>
          <w:left w:val="none" w:sz="0" w:space="0" w:color="auto"/>
          <w:right w:val="none" w:sz="0" w:space="0" w:color="auto"/>
        </w:tblBorders>
        <w:tblLook w:val="04A0" w:firstRow="1" w:lastRow="0" w:firstColumn="1" w:lastColumn="0" w:noHBand="0" w:noVBand="1"/>
      </w:tblPr>
      <w:tblGrid>
        <w:gridCol w:w="8494"/>
      </w:tblGrid>
      <w:tr w:rsidR="00475502" w:rsidRPr="00224AA8" w14:paraId="2524B777" w14:textId="77777777" w:rsidTr="00754DA1">
        <w:tc>
          <w:tcPr>
            <w:tcW w:w="8494" w:type="dxa"/>
          </w:tcPr>
          <w:p w14:paraId="13817C89" w14:textId="77777777" w:rsidR="00475502" w:rsidRPr="00224AA8" w:rsidRDefault="00475502" w:rsidP="00475502">
            <w:pPr>
              <w:pStyle w:val="ListParagraph"/>
              <w:numPr>
                <w:ilvl w:val="0"/>
                <w:numId w:val="13"/>
              </w:numPr>
              <w:spacing w:after="120" w:line="260" w:lineRule="exact"/>
              <w:ind w:left="714" w:hanging="357"/>
            </w:pPr>
            <w:r w:rsidRPr="00224AA8">
              <w:t>Ensure the FRC attracts and values an agile, diverse, inclusive and high performing workforce to meet current and future business needs.</w:t>
            </w:r>
          </w:p>
          <w:p w14:paraId="699352EF" w14:textId="77777777" w:rsidR="00475502" w:rsidRPr="00224AA8" w:rsidRDefault="00475502" w:rsidP="00475502">
            <w:pPr>
              <w:pStyle w:val="ListParagraph"/>
              <w:numPr>
                <w:ilvl w:val="0"/>
                <w:numId w:val="13"/>
              </w:numPr>
              <w:spacing w:after="120" w:line="260" w:lineRule="exact"/>
              <w:ind w:left="714" w:hanging="357"/>
            </w:pPr>
            <w:r w:rsidRPr="00224AA8">
              <w:t>Embed a culture of innovation and continuous improvement to deliver more flexible, effective and efficient services.</w:t>
            </w:r>
          </w:p>
          <w:p w14:paraId="53E17962" w14:textId="77777777" w:rsidR="00475502" w:rsidRPr="00224AA8" w:rsidRDefault="00475502" w:rsidP="00475502">
            <w:pPr>
              <w:pStyle w:val="ListParagraph"/>
              <w:numPr>
                <w:ilvl w:val="0"/>
                <w:numId w:val="13"/>
              </w:numPr>
              <w:spacing w:after="120" w:line="260" w:lineRule="exact"/>
              <w:ind w:left="714" w:hanging="357"/>
            </w:pPr>
            <w:r w:rsidRPr="00224AA8">
              <w:t>Embed safety, including cultural and psychological safety, as a core value to enhance overall wellbeing and engagement in our work environment.</w:t>
            </w:r>
          </w:p>
          <w:p w14:paraId="0BFA8749" w14:textId="77777777" w:rsidR="00475502" w:rsidRPr="00224AA8" w:rsidRDefault="00475502" w:rsidP="00475502">
            <w:pPr>
              <w:pStyle w:val="ListParagraph"/>
              <w:numPr>
                <w:ilvl w:val="0"/>
                <w:numId w:val="13"/>
              </w:numPr>
              <w:spacing w:after="120" w:line="260" w:lineRule="exact"/>
              <w:ind w:left="714" w:hanging="357"/>
            </w:pPr>
            <w:r w:rsidRPr="00224AA8">
              <w:t>Leverage technology, data and information to enhance outcomes.</w:t>
            </w:r>
          </w:p>
        </w:tc>
      </w:tr>
    </w:tbl>
    <w:p w14:paraId="0C9F0FB3" w14:textId="77777777" w:rsidR="00475502" w:rsidRPr="00224AA8" w:rsidRDefault="00475502" w:rsidP="00475502"/>
    <w:p w14:paraId="4D29F3BC" w14:textId="77777777" w:rsidR="00475502" w:rsidRPr="00224AA8" w:rsidRDefault="00475502" w:rsidP="00475502">
      <w:pPr>
        <w:pStyle w:val="Heading5"/>
      </w:pPr>
      <w:r w:rsidRPr="00224AA8">
        <w:t>Performance Indicator 1: Proportion of budget spent on frontline services</w:t>
      </w:r>
    </w:p>
    <w:p w14:paraId="45C13835" w14:textId="77777777" w:rsidR="00047D6E" w:rsidRPr="00224AA8" w:rsidRDefault="00047D6E" w:rsidP="00047D6E">
      <w:bookmarkStart w:id="4" w:name="_Hlk206070630"/>
      <w:r w:rsidRPr="00224AA8">
        <w:t>For 202</w:t>
      </w:r>
      <w:r>
        <w:t>4</w:t>
      </w:r>
      <w:r w:rsidRPr="00224AA8">
        <w:t>-2</w:t>
      </w:r>
      <w:r>
        <w:t>5</w:t>
      </w:r>
      <w:r w:rsidRPr="00224AA8">
        <w:t xml:space="preserve">, </w:t>
      </w:r>
      <w:r w:rsidRPr="002F187E">
        <w:t>69</w:t>
      </w:r>
      <w:r w:rsidRPr="00224AA8">
        <w:t>% of FRC expenses were utilised to support frontline operations and maintain the Commission’s customer service standards to First Nations Queenslanders living in remote communities.</w:t>
      </w:r>
    </w:p>
    <w:bookmarkEnd w:id="4"/>
    <w:p w14:paraId="6A0ED693" w14:textId="77777777" w:rsidR="00475502" w:rsidRPr="00224AA8" w:rsidRDefault="00475502" w:rsidP="00475502"/>
    <w:p w14:paraId="564AC381" w14:textId="77777777" w:rsidR="00475502" w:rsidRPr="00224AA8" w:rsidRDefault="00475502" w:rsidP="00475502">
      <w:pPr>
        <w:pStyle w:val="Heading5"/>
      </w:pPr>
      <w:r w:rsidRPr="00224AA8">
        <w:t>Performance Indicator 2: Employee retention and development</w:t>
      </w:r>
    </w:p>
    <w:p w14:paraId="0D3B209B" w14:textId="77777777" w:rsidR="00475502" w:rsidRPr="00224AA8" w:rsidRDefault="00475502" w:rsidP="00475502">
      <w:r w:rsidRPr="00224AA8">
        <w:t>During the reporting period Commission staff undertook a varied range of development activities as required by their roles, such as First Aid training, or identified learning activities in employee Performance and Development Agreements (PDAs). The Commission continues to develop an appropriate assessment tool to best report against this performance indicator.</w:t>
      </w:r>
    </w:p>
    <w:p w14:paraId="305E8DA3" w14:textId="77777777" w:rsidR="00475502" w:rsidRPr="00224AA8" w:rsidRDefault="00475502" w:rsidP="00475502"/>
    <w:p w14:paraId="366C69F3" w14:textId="77777777" w:rsidR="00475502" w:rsidRPr="00224AA8" w:rsidRDefault="00475502" w:rsidP="00475502">
      <w:pPr>
        <w:pStyle w:val="Heading5"/>
      </w:pPr>
      <w:bookmarkStart w:id="5" w:name="_Hlk206071053"/>
      <w:r w:rsidRPr="00224AA8">
        <w:t>Performance Indicator 3: Increased diversity of our workforce</w:t>
      </w:r>
    </w:p>
    <w:p w14:paraId="715D1532" w14:textId="3ED28308" w:rsidR="00047D6E" w:rsidRPr="00224AA8" w:rsidRDefault="00047D6E" w:rsidP="00047D6E">
      <w:r w:rsidRPr="00224AA8">
        <w:t>The Commission values diverse backgrounds and experience when hiring and continues to ensure the FRC is a safe and welcoming workplace. In the 202</w:t>
      </w:r>
      <w:r>
        <w:t>4</w:t>
      </w:r>
      <w:r w:rsidRPr="00224AA8">
        <w:t>-2</w:t>
      </w:r>
      <w:r>
        <w:t>5</w:t>
      </w:r>
      <w:r w:rsidRPr="00224AA8">
        <w:t xml:space="preserve"> reporting year, the proportion of Aboriginal and Torres Strait Islander employees as defined by the Public Sector Commission </w:t>
      </w:r>
      <w:r>
        <w:t>is 15.8</w:t>
      </w:r>
      <w:r w:rsidRPr="00224AA8">
        <w:t>%. See page</w:t>
      </w:r>
      <w:r>
        <w:t xml:space="preserve"> </w:t>
      </w:r>
      <w:r w:rsidRPr="00F431BA">
        <w:t>9</w:t>
      </w:r>
      <w:r w:rsidR="001C3848" w:rsidRPr="00F431BA">
        <w:t>6</w:t>
      </w:r>
      <w:r>
        <w:t xml:space="preserve"> </w:t>
      </w:r>
      <w:r w:rsidRPr="00224AA8">
        <w:t>for details relating to the Commission’s workforce profile.</w:t>
      </w:r>
    </w:p>
    <w:p w14:paraId="1B031D1F" w14:textId="77777777" w:rsidR="00047D6E" w:rsidRPr="00224AA8" w:rsidRDefault="00047D6E" w:rsidP="00047D6E">
      <w:r w:rsidRPr="00224AA8">
        <w:t xml:space="preserve">Approximately </w:t>
      </w:r>
      <w:r w:rsidRPr="004B0B7C">
        <w:t>97</w:t>
      </w:r>
      <w:r w:rsidRPr="00224AA8">
        <w:t xml:space="preserve">% of the FRC’s </w:t>
      </w:r>
      <w:r w:rsidRPr="004B0B7C">
        <w:t>38</w:t>
      </w:r>
      <w:r w:rsidRPr="00224AA8">
        <w:t xml:space="preserve"> Commissioners, inclusive of the Commissioner, Deputy Commissioner and </w:t>
      </w:r>
      <w:r w:rsidRPr="004B0B7C">
        <w:t>36</w:t>
      </w:r>
      <w:r w:rsidRPr="00224AA8">
        <w:t xml:space="preserve"> Local Commissioners, identifies as Aboriginal. The knowledge and experience of our combined workforce makes the FRC, as a Queensland public sector entity, a leader in cultural capability and First Nations employment.</w:t>
      </w:r>
    </w:p>
    <w:bookmarkEnd w:id="5"/>
    <w:p w14:paraId="10F04036" w14:textId="77777777" w:rsidR="00475502" w:rsidRPr="00224AA8" w:rsidRDefault="00475502" w:rsidP="00475502"/>
    <w:p w14:paraId="6BDC0E03" w14:textId="77777777" w:rsidR="00475502" w:rsidRPr="00224AA8" w:rsidRDefault="00475502" w:rsidP="00475502">
      <w:r w:rsidRPr="00224AA8">
        <w:br w:type="page"/>
      </w:r>
    </w:p>
    <w:p w14:paraId="74128458" w14:textId="77777777" w:rsidR="00475502" w:rsidRPr="00224AA8" w:rsidRDefault="00475502" w:rsidP="00475502">
      <w:pPr>
        <w:pStyle w:val="Heading3"/>
      </w:pPr>
      <w:r w:rsidRPr="00224AA8">
        <w:lastRenderedPageBreak/>
        <w:t>Strategic objective four</w:t>
      </w:r>
    </w:p>
    <w:p w14:paraId="056C1C88" w14:textId="77777777" w:rsidR="00475502" w:rsidRPr="00224AA8" w:rsidRDefault="00475502" w:rsidP="00475502">
      <w:r w:rsidRPr="00224AA8">
        <w:t>Improve engagement through co-design and partnerships.</w:t>
      </w:r>
    </w:p>
    <w:p w14:paraId="1F8F4AED" w14:textId="77777777" w:rsidR="00475502" w:rsidRPr="00224AA8" w:rsidRDefault="00475502" w:rsidP="00475502"/>
    <w:p w14:paraId="573A1E71" w14:textId="77777777" w:rsidR="00475502" w:rsidRPr="00224AA8" w:rsidRDefault="00475502" w:rsidP="00475502">
      <w:pPr>
        <w:pStyle w:val="Heading5"/>
      </w:pPr>
      <w:r w:rsidRPr="00224AA8">
        <w:t>Our achievements</w:t>
      </w:r>
    </w:p>
    <w:p w14:paraId="6BAEC5AA" w14:textId="77777777" w:rsidR="00475502" w:rsidRPr="00224AA8" w:rsidRDefault="00475502" w:rsidP="00475502">
      <w:r w:rsidRPr="00224AA8">
        <w:t>This objective is achieved through the following strategies:</w:t>
      </w:r>
    </w:p>
    <w:p w14:paraId="2AE20B30" w14:textId="77777777" w:rsidR="00475502" w:rsidRPr="00224AA8" w:rsidRDefault="00475502" w:rsidP="00475502"/>
    <w:tbl>
      <w:tblPr>
        <w:tblStyle w:val="TableGrid"/>
        <w:tblW w:w="0" w:type="auto"/>
        <w:tblBorders>
          <w:left w:val="none" w:sz="0" w:space="0" w:color="auto"/>
          <w:right w:val="none" w:sz="0" w:space="0" w:color="auto"/>
        </w:tblBorders>
        <w:tblLook w:val="04A0" w:firstRow="1" w:lastRow="0" w:firstColumn="1" w:lastColumn="0" w:noHBand="0" w:noVBand="1"/>
      </w:tblPr>
      <w:tblGrid>
        <w:gridCol w:w="8494"/>
      </w:tblGrid>
      <w:tr w:rsidR="00475502" w:rsidRPr="00224AA8" w14:paraId="1983620D" w14:textId="77777777" w:rsidTr="00754DA1">
        <w:tc>
          <w:tcPr>
            <w:tcW w:w="8494" w:type="dxa"/>
          </w:tcPr>
          <w:p w14:paraId="3CD3F0CD" w14:textId="77777777" w:rsidR="00475502" w:rsidRPr="00224AA8" w:rsidRDefault="00475502" w:rsidP="00475502">
            <w:pPr>
              <w:pStyle w:val="ListParagraph"/>
              <w:numPr>
                <w:ilvl w:val="0"/>
                <w:numId w:val="14"/>
              </w:numPr>
              <w:spacing w:after="120" w:line="260" w:lineRule="exact"/>
              <w:ind w:left="714" w:hanging="357"/>
            </w:pPr>
            <w:r w:rsidRPr="00224AA8">
              <w:t>Position the FRC as an invaluable part of the service ecosystem through collaborative and collegiate engagement with our partners.</w:t>
            </w:r>
          </w:p>
          <w:p w14:paraId="29C9C370" w14:textId="77777777" w:rsidR="00475502" w:rsidRPr="00224AA8" w:rsidRDefault="00475502" w:rsidP="00475502">
            <w:pPr>
              <w:pStyle w:val="ListParagraph"/>
              <w:numPr>
                <w:ilvl w:val="0"/>
                <w:numId w:val="14"/>
              </w:numPr>
              <w:spacing w:after="120" w:line="260" w:lineRule="exact"/>
              <w:ind w:left="714" w:hanging="357"/>
            </w:pPr>
            <w:r w:rsidRPr="00224AA8">
              <w:t>Provide quality advice to the Family Responsibilities Board, Ministers and Parliamentary Committees to inform policy, legislation and service delivery to our community members.</w:t>
            </w:r>
          </w:p>
          <w:p w14:paraId="3C5B66CC" w14:textId="77777777" w:rsidR="00475502" w:rsidRPr="00224AA8" w:rsidRDefault="00475502" w:rsidP="00475502">
            <w:pPr>
              <w:pStyle w:val="ListParagraph"/>
              <w:numPr>
                <w:ilvl w:val="0"/>
                <w:numId w:val="14"/>
              </w:numPr>
              <w:spacing w:after="120" w:line="260" w:lineRule="exact"/>
              <w:ind w:left="714" w:hanging="357"/>
            </w:pPr>
            <w:r w:rsidRPr="00224AA8">
              <w:t>Help clients have agency in their experience with the FRC by co-designing projects and services, and embracing First Nations ways of doing, being and knowing.</w:t>
            </w:r>
          </w:p>
        </w:tc>
      </w:tr>
    </w:tbl>
    <w:p w14:paraId="60553A34" w14:textId="77777777" w:rsidR="00475502" w:rsidRPr="00224AA8" w:rsidRDefault="00475502" w:rsidP="00475502"/>
    <w:p w14:paraId="40A6C08C" w14:textId="77777777" w:rsidR="00475502" w:rsidRPr="00224AA8" w:rsidRDefault="00475502" w:rsidP="00475502">
      <w:pPr>
        <w:pStyle w:val="Heading5"/>
      </w:pPr>
      <w:r w:rsidRPr="00224AA8">
        <w:t>Performance Indicator 1: Number of partnerships and engagement activities</w:t>
      </w:r>
    </w:p>
    <w:p w14:paraId="495F2E96" w14:textId="7E4959E4" w:rsidR="00047D6E" w:rsidRPr="00224AA8" w:rsidRDefault="00047D6E" w:rsidP="00047D6E">
      <w:r w:rsidRPr="00224AA8">
        <w:t>Over the course of the 202</w:t>
      </w:r>
      <w:r>
        <w:t>4</w:t>
      </w:r>
      <w:r w:rsidRPr="00224AA8">
        <w:t>-2</w:t>
      </w:r>
      <w:r>
        <w:t>5</w:t>
      </w:r>
      <w:r w:rsidRPr="00224AA8">
        <w:t xml:space="preserve"> reporting year the FRC had </w:t>
      </w:r>
      <w:r>
        <w:t>18</w:t>
      </w:r>
      <w:r w:rsidRPr="00224AA8">
        <w:t xml:space="preserve"> referral pathways to community support services, in which a total of </w:t>
      </w:r>
      <w:r>
        <w:t>528</w:t>
      </w:r>
      <w:r w:rsidRPr="00224AA8">
        <w:t xml:space="preserve"> referrals were made relating to </w:t>
      </w:r>
      <w:r>
        <w:t>391</w:t>
      </w:r>
      <w:r w:rsidRPr="00224AA8">
        <w:t xml:space="preserve"> clients.</w:t>
      </w:r>
      <w:r>
        <w:t xml:space="preserve"> </w:t>
      </w:r>
      <w:r w:rsidRPr="00224AA8">
        <w:t>Details relating to the FRC’s client referrals to its community support service partners can be found at page</w:t>
      </w:r>
      <w:r>
        <w:t>s</w:t>
      </w:r>
      <w:r w:rsidRPr="00224AA8">
        <w:t xml:space="preserve"> </w:t>
      </w:r>
      <w:r w:rsidRPr="00F431BA">
        <w:t>5</w:t>
      </w:r>
      <w:r w:rsidR="001C3848" w:rsidRPr="00F431BA">
        <w:t>4</w:t>
      </w:r>
      <w:r w:rsidRPr="00F431BA">
        <w:t xml:space="preserve"> and 5</w:t>
      </w:r>
      <w:r w:rsidR="001C3848" w:rsidRPr="00F431BA">
        <w:t>5</w:t>
      </w:r>
      <w:r w:rsidRPr="00F431BA">
        <w:t>.</w:t>
      </w:r>
    </w:p>
    <w:p w14:paraId="638B0D07" w14:textId="77777777" w:rsidR="00047D6E" w:rsidRPr="00224AA8" w:rsidRDefault="00047D6E" w:rsidP="00047D6E">
      <w:r w:rsidRPr="00224AA8">
        <w:t xml:space="preserve">The FRC also formalised its partnership through </w:t>
      </w:r>
      <w:r>
        <w:t>a memorandum of understanding</w:t>
      </w:r>
      <w:r w:rsidRPr="00224AA8">
        <w:t xml:space="preserve"> with </w:t>
      </w:r>
      <w:r>
        <w:t>the Aboriginal and Torres Strait Islander Legal Service (ATSILS).</w:t>
      </w:r>
    </w:p>
    <w:p w14:paraId="685EEFD0" w14:textId="77777777" w:rsidR="00475502" w:rsidRPr="00224AA8" w:rsidRDefault="00475502" w:rsidP="00475502"/>
    <w:p w14:paraId="1D22EFB5" w14:textId="77777777" w:rsidR="00475502" w:rsidRPr="00224AA8" w:rsidRDefault="00475502" w:rsidP="00475502">
      <w:pPr>
        <w:pStyle w:val="Heading5"/>
      </w:pPr>
      <w:r w:rsidRPr="00224AA8">
        <w:t>Performance Indicator 2: Rate of stakeholder satisfaction</w:t>
      </w:r>
    </w:p>
    <w:p w14:paraId="6052B0DE" w14:textId="77777777" w:rsidR="00475502" w:rsidRPr="00224AA8" w:rsidRDefault="00475502" w:rsidP="00475502">
      <w:r w:rsidRPr="00224AA8">
        <w:t>The Commission continues to develop an appropriate assessment tool to best record stakeholder satisfaction rates and service standards. The FRC hopes to report against this performance indicator in the future.</w:t>
      </w:r>
    </w:p>
    <w:p w14:paraId="5F5824BD" w14:textId="77777777" w:rsidR="00475502" w:rsidRPr="00224AA8" w:rsidRDefault="00475502" w:rsidP="00475502"/>
    <w:p w14:paraId="53865CAC" w14:textId="77777777" w:rsidR="00475502" w:rsidRPr="00224AA8" w:rsidRDefault="00475502" w:rsidP="00475502">
      <w:pPr>
        <w:pStyle w:val="Heading5"/>
      </w:pPr>
      <w:r w:rsidRPr="00224AA8">
        <w:t>Performance Indicator 3: Rate of participation in project and service design</w:t>
      </w:r>
    </w:p>
    <w:p w14:paraId="66720B48" w14:textId="77777777" w:rsidR="00DB3C3E" w:rsidRPr="00224AA8" w:rsidRDefault="00DB3C3E" w:rsidP="00DB3C3E">
      <w:r w:rsidRPr="00224AA8">
        <w:t>Although the Commission is yet to finalise an appropriate assessment tool to best report against this performance indicator, there have been several initiatives throughout 202</w:t>
      </w:r>
      <w:r>
        <w:t>4</w:t>
      </w:r>
      <w:r w:rsidRPr="00224AA8">
        <w:t>-2</w:t>
      </w:r>
      <w:r>
        <w:t>5</w:t>
      </w:r>
      <w:r w:rsidRPr="00224AA8">
        <w:t xml:space="preserve"> in collaboration with clients, stakeholders, and FRC staff and Local Commissioners. These initiatives include:</w:t>
      </w:r>
    </w:p>
    <w:p w14:paraId="1EC73844" w14:textId="71440B8E" w:rsidR="00475502" w:rsidRPr="00224AA8" w:rsidRDefault="00475502" w:rsidP="00475502">
      <w:pPr>
        <w:pStyle w:val="ListParagraph"/>
        <w:numPr>
          <w:ilvl w:val="0"/>
          <w:numId w:val="15"/>
        </w:numPr>
        <w:spacing w:after="120" w:line="260" w:lineRule="exact"/>
        <w:ind w:left="425" w:hanging="357"/>
      </w:pPr>
      <w:r w:rsidRPr="00224AA8">
        <w:rPr>
          <w:b/>
          <w:bCs/>
        </w:rPr>
        <w:t>Elevated School Response (ESR)</w:t>
      </w:r>
      <w:r w:rsidRPr="00224AA8">
        <w:t xml:space="preserve"> </w:t>
      </w:r>
      <w:r w:rsidRPr="00224AA8">
        <w:rPr>
          <w:b/>
          <w:bCs/>
        </w:rPr>
        <w:t>strategy</w:t>
      </w:r>
      <w:r w:rsidRPr="00224AA8">
        <w:t xml:space="preserve">. </w:t>
      </w:r>
      <w:r w:rsidR="00DB3C3E">
        <w:t>The ESR strategy w</w:t>
      </w:r>
      <w:r w:rsidR="00DB3C3E" w:rsidRPr="00224AA8">
        <w:rPr>
          <w:szCs w:val="20"/>
        </w:rPr>
        <w:t>as designed as an interim measure to support schools and parents as part of their school attendance and retention strategies. For instance, some communities do not have a reliable school bus or operational School Attendance Officer (SAO) programs and the FRC saw an important role for the Commission to scaffold these essential strategies.</w:t>
      </w:r>
    </w:p>
    <w:p w14:paraId="5BC64A57" w14:textId="77777777" w:rsidR="00475502" w:rsidRDefault="00475502" w:rsidP="00475502">
      <w:pPr>
        <w:spacing w:after="160" w:line="259" w:lineRule="auto"/>
        <w:rPr>
          <w:szCs w:val="20"/>
        </w:rPr>
      </w:pPr>
      <w:r>
        <w:rPr>
          <w:szCs w:val="20"/>
        </w:rPr>
        <w:br w:type="page"/>
      </w:r>
    </w:p>
    <w:p w14:paraId="059362A6" w14:textId="383DB8CF" w:rsidR="00DB3C3E" w:rsidRDefault="00DB3C3E" w:rsidP="00DB3C3E">
      <w:pPr>
        <w:ind w:left="425"/>
        <w:rPr>
          <w:szCs w:val="20"/>
        </w:rPr>
      </w:pPr>
      <w:r w:rsidRPr="00224AA8">
        <w:rPr>
          <w:szCs w:val="20"/>
        </w:rPr>
        <w:lastRenderedPageBreak/>
        <w:t>The program in each of the participating communities has been co-designed to reflect the specific priorities of those clients, local schools and Local Commissioners. For instance</w:t>
      </w:r>
      <w:r>
        <w:rPr>
          <w:szCs w:val="20"/>
        </w:rPr>
        <w:t>:</w:t>
      </w:r>
    </w:p>
    <w:p w14:paraId="5882BFF5" w14:textId="64D90179" w:rsidR="00426556" w:rsidRPr="00436788" w:rsidRDefault="00426556" w:rsidP="00426556">
      <w:pPr>
        <w:pStyle w:val="ListParagraph"/>
        <w:numPr>
          <w:ilvl w:val="0"/>
          <w:numId w:val="15"/>
        </w:numPr>
        <w:spacing w:after="120" w:line="260" w:lineRule="exact"/>
        <w:ind w:left="714" w:hanging="357"/>
        <w:rPr>
          <w:szCs w:val="20"/>
          <w:lang w:val="en-AU"/>
        </w:rPr>
      </w:pPr>
      <w:bookmarkStart w:id="6" w:name="_Hlk206072045"/>
      <w:r>
        <w:rPr>
          <w:szCs w:val="20"/>
        </w:rPr>
        <w:t xml:space="preserve">In </w:t>
      </w:r>
      <w:r w:rsidR="00710F15" w:rsidRPr="004D15DB">
        <w:rPr>
          <w:szCs w:val="20"/>
        </w:rPr>
        <w:t>Aurukun the initial focus was on long-term disengaged young people, including those students impacted by foetal alcohol spectrum disorders.</w:t>
      </w:r>
      <w:r w:rsidR="00710F15">
        <w:rPr>
          <w:szCs w:val="20"/>
        </w:rPr>
        <w:t xml:space="preserve"> From Term 1 2025 the Aurukun ESR strategy changed to focus </w:t>
      </w:r>
      <w:r w:rsidR="00710F15" w:rsidRPr="006974C7">
        <w:rPr>
          <w:szCs w:val="20"/>
        </w:rPr>
        <w:t xml:space="preserve">on children and families who were willing to work with the FRC in getting their children to school. </w:t>
      </w:r>
      <w:r w:rsidR="00710F15">
        <w:rPr>
          <w:szCs w:val="20"/>
        </w:rPr>
        <w:t xml:space="preserve">Discussions </w:t>
      </w:r>
      <w:r w:rsidR="00710F15" w:rsidRPr="006974C7">
        <w:rPr>
          <w:szCs w:val="20"/>
        </w:rPr>
        <w:t>with the school Principal</w:t>
      </w:r>
      <w:r w:rsidR="00710F15">
        <w:rPr>
          <w:szCs w:val="20"/>
        </w:rPr>
        <w:t xml:space="preserve"> highlighted a significant need </w:t>
      </w:r>
      <w:r w:rsidR="00710F15" w:rsidRPr="006974C7">
        <w:rPr>
          <w:szCs w:val="20"/>
        </w:rPr>
        <w:t>to support families</w:t>
      </w:r>
      <w:r w:rsidR="00710F15">
        <w:rPr>
          <w:szCs w:val="20"/>
        </w:rPr>
        <w:t xml:space="preserve"> dealing with</w:t>
      </w:r>
      <w:r w:rsidR="00710F15" w:rsidRPr="006974C7">
        <w:rPr>
          <w:szCs w:val="20"/>
        </w:rPr>
        <w:t xml:space="preserve"> chronic absenteeism</w:t>
      </w:r>
      <w:r w:rsidR="00710F15">
        <w:rPr>
          <w:szCs w:val="20"/>
        </w:rPr>
        <w:t>, as well as a shortage of</w:t>
      </w:r>
      <w:r w:rsidR="00710F15" w:rsidRPr="006974C7">
        <w:rPr>
          <w:szCs w:val="20"/>
        </w:rPr>
        <w:t xml:space="preserve"> support staff at the school. </w:t>
      </w:r>
      <w:r w:rsidR="00710F15">
        <w:rPr>
          <w:szCs w:val="20"/>
        </w:rPr>
        <w:t>The Commission is</w:t>
      </w:r>
      <w:r w:rsidR="00710F15" w:rsidRPr="006974C7">
        <w:rPr>
          <w:szCs w:val="20"/>
        </w:rPr>
        <w:t xml:space="preserve"> </w:t>
      </w:r>
      <w:r w:rsidR="00710F15">
        <w:rPr>
          <w:szCs w:val="20"/>
        </w:rPr>
        <w:t xml:space="preserve">also focusing on supporting </w:t>
      </w:r>
      <w:r w:rsidR="00710F15" w:rsidRPr="006974C7">
        <w:rPr>
          <w:szCs w:val="20"/>
        </w:rPr>
        <w:t>families w</w:t>
      </w:r>
      <w:r w:rsidR="00710F15">
        <w:rPr>
          <w:szCs w:val="20"/>
        </w:rPr>
        <w:t>ith</w:t>
      </w:r>
      <w:r w:rsidR="00710F15" w:rsidRPr="006974C7">
        <w:rPr>
          <w:szCs w:val="20"/>
        </w:rPr>
        <w:t xml:space="preserve"> </w:t>
      </w:r>
      <w:r w:rsidR="00710F15">
        <w:rPr>
          <w:szCs w:val="20"/>
        </w:rPr>
        <w:t>children who have</w:t>
      </w:r>
      <w:r w:rsidR="00710F15" w:rsidRPr="006974C7">
        <w:rPr>
          <w:szCs w:val="20"/>
        </w:rPr>
        <w:t xml:space="preserve"> complex health issues</w:t>
      </w:r>
      <w:r w:rsidR="00710F15">
        <w:rPr>
          <w:szCs w:val="20"/>
        </w:rPr>
        <w:t xml:space="preserve"> </w:t>
      </w:r>
      <w:r w:rsidR="00710F15">
        <w:rPr>
          <w:szCs w:val="20"/>
          <w:lang w:val="en-AU"/>
        </w:rPr>
        <w:t xml:space="preserve">and aims to </w:t>
      </w:r>
      <w:r w:rsidR="00710F15" w:rsidRPr="006974C7">
        <w:rPr>
          <w:szCs w:val="20"/>
        </w:rPr>
        <w:t xml:space="preserve">ensure </w:t>
      </w:r>
      <w:r w:rsidR="00710F15">
        <w:rPr>
          <w:szCs w:val="20"/>
        </w:rPr>
        <w:t xml:space="preserve">that </w:t>
      </w:r>
      <w:r w:rsidR="00710F15" w:rsidRPr="006974C7">
        <w:rPr>
          <w:szCs w:val="20"/>
        </w:rPr>
        <w:t>multiple services are working</w:t>
      </w:r>
      <w:r w:rsidR="00710F15">
        <w:rPr>
          <w:szCs w:val="20"/>
        </w:rPr>
        <w:t xml:space="preserve"> together effectively </w:t>
      </w:r>
      <w:r w:rsidR="00710F15" w:rsidRPr="006974C7">
        <w:rPr>
          <w:szCs w:val="20"/>
        </w:rPr>
        <w:t>to achieve positive outcomes</w:t>
      </w:r>
      <w:r w:rsidR="00710F15">
        <w:rPr>
          <w:szCs w:val="20"/>
        </w:rPr>
        <w:t>. For</w:t>
      </w:r>
      <w:r w:rsidR="00710F15" w:rsidRPr="00C80B5E">
        <w:rPr>
          <w:rFonts w:eastAsia="Times New Roman"/>
        </w:rPr>
        <w:t xml:space="preserve"> long-term disengaged children </w:t>
      </w:r>
      <w:r w:rsidR="00710F15">
        <w:rPr>
          <w:rFonts w:eastAsia="Times New Roman"/>
        </w:rPr>
        <w:t xml:space="preserve">the FRC is </w:t>
      </w:r>
      <w:r w:rsidR="00710F15" w:rsidRPr="00C80B5E">
        <w:rPr>
          <w:rFonts w:eastAsia="Times New Roman"/>
        </w:rPr>
        <w:t>work</w:t>
      </w:r>
      <w:r w:rsidR="00710F15">
        <w:rPr>
          <w:rFonts w:eastAsia="Times New Roman"/>
        </w:rPr>
        <w:t>ing</w:t>
      </w:r>
      <w:r w:rsidR="00710F15" w:rsidRPr="00C80B5E">
        <w:rPr>
          <w:rFonts w:eastAsia="Times New Roman"/>
        </w:rPr>
        <w:t xml:space="preserve"> with families to identify underlying </w:t>
      </w:r>
      <w:r w:rsidR="00710F15">
        <w:rPr>
          <w:rFonts w:eastAsia="Times New Roman"/>
        </w:rPr>
        <w:t xml:space="preserve">causes of disengagement </w:t>
      </w:r>
      <w:r w:rsidR="00710F15" w:rsidRPr="00C80B5E">
        <w:rPr>
          <w:rFonts w:eastAsia="Times New Roman"/>
        </w:rPr>
        <w:t xml:space="preserve">and </w:t>
      </w:r>
      <w:r w:rsidR="00710F15">
        <w:rPr>
          <w:rFonts w:eastAsia="Times New Roman"/>
        </w:rPr>
        <w:t xml:space="preserve">connect </w:t>
      </w:r>
      <w:r w:rsidR="00710F15" w:rsidRPr="00C80B5E">
        <w:rPr>
          <w:rFonts w:eastAsia="Times New Roman"/>
        </w:rPr>
        <w:t>them with appropriate</w:t>
      </w:r>
      <w:r w:rsidR="00710F15">
        <w:rPr>
          <w:rFonts w:eastAsia="Times New Roman"/>
        </w:rPr>
        <w:t xml:space="preserve"> support </w:t>
      </w:r>
      <w:r w:rsidR="00710F15" w:rsidRPr="00C80B5E">
        <w:rPr>
          <w:rFonts w:eastAsia="Times New Roman"/>
        </w:rPr>
        <w:t>services.</w:t>
      </w:r>
      <w:r w:rsidR="00710F15">
        <w:rPr>
          <w:rFonts w:eastAsia="Times New Roman"/>
        </w:rPr>
        <w:t xml:space="preserve"> </w:t>
      </w:r>
      <w:r w:rsidR="00710F15" w:rsidRPr="00436788">
        <w:rPr>
          <w:szCs w:val="20"/>
        </w:rPr>
        <w:t xml:space="preserve">The </w:t>
      </w:r>
      <w:r w:rsidR="00710F15">
        <w:rPr>
          <w:szCs w:val="20"/>
        </w:rPr>
        <w:t xml:space="preserve">Local </w:t>
      </w:r>
      <w:r w:rsidR="00710F15" w:rsidRPr="00436788">
        <w:rPr>
          <w:szCs w:val="20"/>
        </w:rPr>
        <w:t xml:space="preserve">Commissioners </w:t>
      </w:r>
      <w:r w:rsidR="00710F15">
        <w:rPr>
          <w:szCs w:val="20"/>
        </w:rPr>
        <w:t>are also visiting</w:t>
      </w:r>
      <w:r w:rsidR="00710F15" w:rsidRPr="00436788">
        <w:rPr>
          <w:szCs w:val="20"/>
        </w:rPr>
        <w:t xml:space="preserve"> the school</w:t>
      </w:r>
      <w:r w:rsidR="00710F15">
        <w:rPr>
          <w:szCs w:val="20"/>
        </w:rPr>
        <w:t xml:space="preserve"> to engage </w:t>
      </w:r>
      <w:r w:rsidR="00710F15" w:rsidRPr="00436788">
        <w:rPr>
          <w:szCs w:val="20"/>
        </w:rPr>
        <w:t>with teachers and students</w:t>
      </w:r>
      <w:r w:rsidR="00710F15">
        <w:rPr>
          <w:szCs w:val="20"/>
        </w:rPr>
        <w:t>,</w:t>
      </w:r>
      <w:r w:rsidR="00710F15" w:rsidRPr="00436788">
        <w:rPr>
          <w:szCs w:val="20"/>
        </w:rPr>
        <w:t xml:space="preserve"> delivering key messages a</w:t>
      </w:r>
      <w:r w:rsidR="00710F15">
        <w:rPr>
          <w:szCs w:val="20"/>
        </w:rPr>
        <w:t>bout</w:t>
      </w:r>
      <w:r w:rsidR="00710F15" w:rsidRPr="00436788">
        <w:rPr>
          <w:szCs w:val="20"/>
        </w:rPr>
        <w:t xml:space="preserve"> ‘teasing, bullying and respect for everyone’</w:t>
      </w:r>
      <w:r w:rsidR="00710F15">
        <w:rPr>
          <w:szCs w:val="20"/>
        </w:rPr>
        <w:t xml:space="preserve">. These visits enable Local Commissioners to discuss with </w:t>
      </w:r>
      <w:r w:rsidR="00710F15" w:rsidRPr="00436788">
        <w:rPr>
          <w:szCs w:val="20"/>
        </w:rPr>
        <w:t>families via CE and conferenc</w:t>
      </w:r>
      <w:r w:rsidR="00710F15">
        <w:rPr>
          <w:szCs w:val="20"/>
        </w:rPr>
        <w:t>ing</w:t>
      </w:r>
      <w:r w:rsidR="00710F15" w:rsidRPr="00436788">
        <w:rPr>
          <w:szCs w:val="20"/>
        </w:rPr>
        <w:t xml:space="preserve"> how th</w:t>
      </w:r>
      <w:r w:rsidR="00710F15">
        <w:rPr>
          <w:szCs w:val="20"/>
        </w:rPr>
        <w:t>ese issues are</w:t>
      </w:r>
      <w:r w:rsidR="00710F15" w:rsidRPr="00436788">
        <w:rPr>
          <w:szCs w:val="20"/>
        </w:rPr>
        <w:t xml:space="preserve"> being addressed at the school.</w:t>
      </w:r>
    </w:p>
    <w:p w14:paraId="239FD56D" w14:textId="77777777" w:rsidR="001837C2" w:rsidRPr="004D15DB" w:rsidRDefault="001837C2" w:rsidP="001837C2">
      <w:pPr>
        <w:pStyle w:val="ListParagraph"/>
        <w:numPr>
          <w:ilvl w:val="0"/>
          <w:numId w:val="15"/>
        </w:numPr>
        <w:spacing w:after="120" w:line="260" w:lineRule="exact"/>
        <w:ind w:left="714" w:hanging="357"/>
        <w:rPr>
          <w:szCs w:val="20"/>
        </w:rPr>
      </w:pPr>
      <w:r>
        <w:rPr>
          <w:szCs w:val="20"/>
        </w:rPr>
        <w:t xml:space="preserve">In </w:t>
      </w:r>
      <w:r w:rsidRPr="004D15DB">
        <w:rPr>
          <w:szCs w:val="20"/>
        </w:rPr>
        <w:t>Doomadgee clients who already had a case plan referral to the SAO program were prioritised. Local Commissioners then worked with clients and their children to implement strategies to overcome barriers to school attendance and engagement.</w:t>
      </w:r>
    </w:p>
    <w:p w14:paraId="5BA9135A" w14:textId="77777777" w:rsidR="001837C2" w:rsidRPr="0066271E" w:rsidRDefault="001837C2" w:rsidP="001837C2">
      <w:pPr>
        <w:pStyle w:val="ListParagraph"/>
        <w:numPr>
          <w:ilvl w:val="0"/>
          <w:numId w:val="15"/>
        </w:numPr>
        <w:spacing w:after="120" w:line="260" w:lineRule="exact"/>
        <w:ind w:left="714" w:hanging="357"/>
        <w:rPr>
          <w:szCs w:val="20"/>
        </w:rPr>
      </w:pPr>
      <w:r w:rsidRPr="004D15DB">
        <w:rPr>
          <w:szCs w:val="20"/>
        </w:rPr>
        <w:t xml:space="preserve">From Term </w:t>
      </w:r>
      <w:r>
        <w:rPr>
          <w:szCs w:val="20"/>
        </w:rPr>
        <w:t>3</w:t>
      </w:r>
      <w:r w:rsidRPr="004D15DB">
        <w:rPr>
          <w:szCs w:val="20"/>
        </w:rPr>
        <w:t xml:space="preserve"> 2024 to Term 1 2025 Hope Vale’s ESR strategy included targeting the early years as well as school aged children</w:t>
      </w:r>
      <w:r>
        <w:rPr>
          <w:szCs w:val="20"/>
        </w:rPr>
        <w:t>,</w:t>
      </w:r>
      <w:r w:rsidRPr="004D15DB">
        <w:rPr>
          <w:szCs w:val="20"/>
        </w:rPr>
        <w:t xml:space="preserve"> and focussed on families whose children were eligible to start kindergarten and Prep. F</w:t>
      </w:r>
      <w:r>
        <w:rPr>
          <w:szCs w:val="20"/>
        </w:rPr>
        <w:t>rom</w:t>
      </w:r>
      <w:r w:rsidRPr="004D15DB">
        <w:rPr>
          <w:szCs w:val="20"/>
        </w:rPr>
        <w:t xml:space="preserve"> Term 2 2025</w:t>
      </w:r>
      <w:r>
        <w:rPr>
          <w:szCs w:val="20"/>
        </w:rPr>
        <w:t xml:space="preserve"> </w:t>
      </w:r>
      <w:r>
        <w:rPr>
          <w:szCs w:val="20"/>
          <w:lang w:val="en-AU"/>
        </w:rPr>
        <w:t>t</w:t>
      </w:r>
      <w:r w:rsidRPr="004D15DB">
        <w:rPr>
          <w:szCs w:val="20"/>
          <w:lang w:val="en-AU"/>
        </w:rPr>
        <w:t xml:space="preserve">he Hope Vale ESR project </w:t>
      </w:r>
      <w:r>
        <w:rPr>
          <w:szCs w:val="20"/>
          <w:lang w:val="en-AU"/>
        </w:rPr>
        <w:t xml:space="preserve">changed to </w:t>
      </w:r>
      <w:r w:rsidRPr="004D15DB">
        <w:rPr>
          <w:szCs w:val="20"/>
          <w:lang w:val="en-AU"/>
        </w:rPr>
        <w:t>focus on specific target groups including children with 60 to 80 per cent school attendance who could benefit from additional support to improve their school attendance, and children who are disengaged from school.</w:t>
      </w:r>
    </w:p>
    <w:p w14:paraId="70D9B8C7" w14:textId="77777777" w:rsidR="00475502" w:rsidRPr="004D15DB" w:rsidRDefault="00475502" w:rsidP="00475502">
      <w:pPr>
        <w:pStyle w:val="ListParagraph"/>
        <w:numPr>
          <w:ilvl w:val="0"/>
          <w:numId w:val="15"/>
        </w:numPr>
        <w:spacing w:after="120" w:line="260" w:lineRule="exact"/>
        <w:ind w:left="714" w:hanging="357"/>
        <w:rPr>
          <w:szCs w:val="20"/>
        </w:rPr>
      </w:pPr>
      <w:r w:rsidRPr="004D15DB">
        <w:rPr>
          <w:szCs w:val="20"/>
        </w:rPr>
        <w:t>Mossman Gorge’s strategy included responding to the wishes of the community by aiming to reduce behavioural issues on the school bus, as well as improving school attendance</w:t>
      </w:r>
      <w:r>
        <w:rPr>
          <w:szCs w:val="20"/>
        </w:rPr>
        <w:t>.</w:t>
      </w:r>
      <w:bookmarkEnd w:id="6"/>
    </w:p>
    <w:p w14:paraId="6B928FD2" w14:textId="0E83DB32" w:rsidR="00475502" w:rsidRPr="00224AA8" w:rsidRDefault="00475502" w:rsidP="00475502">
      <w:pPr>
        <w:pStyle w:val="ListParagraph"/>
        <w:numPr>
          <w:ilvl w:val="0"/>
          <w:numId w:val="15"/>
        </w:numPr>
        <w:spacing w:after="120" w:line="260" w:lineRule="exact"/>
        <w:ind w:left="425" w:hanging="357"/>
      </w:pPr>
      <w:r w:rsidRPr="00224AA8">
        <w:rPr>
          <w:b/>
          <w:bCs/>
        </w:rPr>
        <w:t>C</w:t>
      </w:r>
      <w:r w:rsidR="00020032">
        <w:rPr>
          <w:b/>
          <w:bCs/>
        </w:rPr>
        <w:t xml:space="preserve">lient </w:t>
      </w:r>
      <w:r w:rsidRPr="00224AA8">
        <w:rPr>
          <w:b/>
          <w:bCs/>
        </w:rPr>
        <w:t>E</w:t>
      </w:r>
      <w:r w:rsidR="00020032">
        <w:rPr>
          <w:b/>
          <w:bCs/>
        </w:rPr>
        <w:t>ngagement</w:t>
      </w:r>
      <w:r w:rsidRPr="00224AA8">
        <w:rPr>
          <w:b/>
          <w:bCs/>
        </w:rPr>
        <w:t xml:space="preserve"> approach</w:t>
      </w:r>
      <w:r w:rsidRPr="00224AA8">
        <w:t xml:space="preserve">. </w:t>
      </w:r>
      <w:r w:rsidR="00DB3C3E">
        <w:t>In 2024-25 there were 1,796</w:t>
      </w:r>
      <w:r w:rsidR="00DB3C3E">
        <w:rPr>
          <w:rStyle w:val="FootnoteReference"/>
        </w:rPr>
        <w:footnoteReference w:id="7"/>
      </w:r>
      <w:r w:rsidR="00DB3C3E" w:rsidRPr="00224AA8">
        <w:t xml:space="preserve"> </w:t>
      </w:r>
      <w:r w:rsidR="00DB3C3E">
        <w:t>CEs with either the client, stakeholder or both relating to 721 clients</w:t>
      </w:r>
      <w:r w:rsidR="00DB3C3E" w:rsidRPr="00224AA8">
        <w:t xml:space="preserve">, </w:t>
      </w:r>
      <w:r w:rsidR="00DB3C3E">
        <w:t>providing</w:t>
      </w:r>
      <w:r w:rsidR="00DB3C3E" w:rsidRPr="00224AA8">
        <w:t xml:space="preserve"> overwhelming evidence of the successful co-design of the initiative in response to the evolving needs of our community members. See </w:t>
      </w:r>
      <w:r w:rsidR="00DB3C3E" w:rsidRPr="00F431BA">
        <w:t>pages 1</w:t>
      </w:r>
      <w:r w:rsidR="001C3848" w:rsidRPr="00F431BA">
        <w:t>0</w:t>
      </w:r>
      <w:r w:rsidR="00DB3C3E" w:rsidRPr="00F431BA">
        <w:t>, 2</w:t>
      </w:r>
      <w:r w:rsidR="001C3848" w:rsidRPr="00F431BA">
        <w:t>6</w:t>
      </w:r>
      <w:r w:rsidR="00DB3C3E" w:rsidRPr="00F431BA">
        <w:t>, 2</w:t>
      </w:r>
      <w:r w:rsidR="001C3848" w:rsidRPr="00F431BA">
        <w:t>7</w:t>
      </w:r>
      <w:r w:rsidR="00DB3C3E" w:rsidRPr="00F431BA">
        <w:t xml:space="preserve">, </w:t>
      </w:r>
      <w:r w:rsidR="001C3848" w:rsidRPr="00F431BA">
        <w:t>29</w:t>
      </w:r>
      <w:r w:rsidR="00DB3C3E" w:rsidRPr="00F431BA">
        <w:t>, 3</w:t>
      </w:r>
      <w:r w:rsidR="001C3848" w:rsidRPr="00F431BA">
        <w:t>0</w:t>
      </w:r>
      <w:r w:rsidR="00DB3C3E" w:rsidRPr="00F431BA">
        <w:t>, 5</w:t>
      </w:r>
      <w:r w:rsidR="001C3848" w:rsidRPr="00F431BA">
        <w:t>0</w:t>
      </w:r>
      <w:r w:rsidR="00DB3C3E" w:rsidRPr="00F431BA">
        <w:t xml:space="preserve"> and the</w:t>
      </w:r>
      <w:r w:rsidR="00DB3C3E" w:rsidRPr="00224AA8">
        <w:t xml:space="preserve"> Community operations reports for further details.</w:t>
      </w:r>
    </w:p>
    <w:p w14:paraId="70A449EC" w14:textId="77777777" w:rsidR="00475502" w:rsidRPr="00224AA8" w:rsidRDefault="00475502" w:rsidP="00475502">
      <w:pPr>
        <w:spacing w:after="0"/>
        <w:ind w:left="425"/>
        <w:rPr>
          <w:szCs w:val="20"/>
        </w:rPr>
      </w:pPr>
    </w:p>
    <w:p w14:paraId="4325C71A" w14:textId="77777777" w:rsidR="002B70DC" w:rsidRDefault="002B70DC" w:rsidP="00E80750"/>
    <w:p w14:paraId="3690DB81" w14:textId="77777777" w:rsidR="000141CF" w:rsidRPr="0070650D" w:rsidRDefault="000141CF" w:rsidP="0070650D"/>
    <w:sectPr w:rsidR="000141CF" w:rsidRPr="0070650D" w:rsidSect="002B07B7">
      <w:headerReference w:type="default" r:id="rId11"/>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6CA624B5" w14:textId="77777777" w:rsidR="00082216" w:rsidRPr="0084427F" w:rsidRDefault="00082216" w:rsidP="00082216">
      <w:pPr>
        <w:pStyle w:val="FootnoteText"/>
        <w:spacing w:after="0"/>
        <w:rPr>
          <w:sz w:val="16"/>
          <w:szCs w:val="16"/>
          <w:lang w:val="en-US"/>
        </w:rPr>
      </w:pPr>
      <w:r w:rsidRPr="0084427F">
        <w:rPr>
          <w:rStyle w:val="FootnoteReference"/>
          <w:sz w:val="16"/>
          <w:szCs w:val="16"/>
        </w:rPr>
        <w:footnoteRef/>
      </w:r>
      <w:r w:rsidRPr="0084427F">
        <w:rPr>
          <w:sz w:val="16"/>
          <w:szCs w:val="16"/>
        </w:rPr>
        <w:t xml:space="preserve"> </w:t>
      </w:r>
      <w:r w:rsidRPr="0084427F">
        <w:rPr>
          <w:sz w:val="16"/>
          <w:szCs w:val="16"/>
          <w:lang w:val="en-US"/>
        </w:rPr>
        <w:t>Excluding decisions on amend/end applications.</w:t>
      </w:r>
    </w:p>
  </w:footnote>
  <w:footnote w:id="2">
    <w:p w14:paraId="510B2702" w14:textId="77777777" w:rsidR="00DC671E" w:rsidRPr="009F5D99" w:rsidRDefault="00DC671E" w:rsidP="00DC671E">
      <w:pPr>
        <w:pStyle w:val="FootnoteText"/>
        <w:spacing w:after="0"/>
        <w:rPr>
          <w:lang w:val="en-US"/>
        </w:rPr>
      </w:pPr>
      <w:r>
        <w:rPr>
          <w:rStyle w:val="FootnoteReference"/>
        </w:rPr>
        <w:footnoteRef/>
      </w:r>
      <w:r>
        <w:t xml:space="preserve"> </w:t>
      </w:r>
      <w:r w:rsidRPr="009F5D99">
        <w:rPr>
          <w:sz w:val="16"/>
          <w:szCs w:val="16"/>
        </w:rPr>
        <w:t>The Australian Institute of Health and Welfare defines an “Older Indigenous Australian” as aged 50 and over.</w:t>
      </w:r>
    </w:p>
  </w:footnote>
  <w:footnote w:id="3">
    <w:p w14:paraId="33E4492D" w14:textId="77777777" w:rsidR="00DC671E" w:rsidRPr="007E43F3" w:rsidRDefault="00DC671E" w:rsidP="00DC671E">
      <w:pPr>
        <w:pStyle w:val="FootnoteText"/>
        <w:spacing w:after="0"/>
        <w:rPr>
          <w:lang w:val="en-AU"/>
        </w:rPr>
      </w:pPr>
      <w:r>
        <w:rPr>
          <w:rStyle w:val="FootnoteReference"/>
        </w:rPr>
        <w:footnoteRef/>
      </w:r>
      <w:r>
        <w:t xml:space="preserve"> </w:t>
      </w:r>
      <w:r w:rsidRPr="009F5D99">
        <w:rPr>
          <w:sz w:val="16"/>
          <w:szCs w:val="16"/>
          <w:lang w:val="en-AU"/>
        </w:rPr>
        <w:t>When a client is entering into a voluntary agreement, they may choose one or more option to reflect their individual circumstances and reasons for participating in voluntary income management.</w:t>
      </w:r>
    </w:p>
  </w:footnote>
  <w:footnote w:id="4">
    <w:p w14:paraId="54F6E881" w14:textId="77777777" w:rsidR="00723519" w:rsidRPr="0084427F" w:rsidRDefault="00723519" w:rsidP="00723519">
      <w:pPr>
        <w:pStyle w:val="FootnoteText"/>
        <w:spacing w:after="0"/>
        <w:rPr>
          <w:sz w:val="16"/>
          <w:szCs w:val="16"/>
          <w:lang w:val="en-US"/>
        </w:rPr>
      </w:pPr>
      <w:r w:rsidRPr="0084427F">
        <w:rPr>
          <w:rStyle w:val="FootnoteReference"/>
          <w:sz w:val="16"/>
          <w:szCs w:val="16"/>
        </w:rPr>
        <w:footnoteRef/>
      </w:r>
      <w:r w:rsidRPr="0084427F">
        <w:rPr>
          <w:sz w:val="16"/>
          <w:szCs w:val="16"/>
        </w:rPr>
        <w:t xml:space="preserve"> </w:t>
      </w:r>
      <w:r w:rsidRPr="0084427F">
        <w:rPr>
          <w:sz w:val="16"/>
          <w:szCs w:val="16"/>
          <w:lang w:val="en-US"/>
        </w:rPr>
        <w:t>A client may choose one or more option to reflect their individual reasons in participating in voluntary income management.</w:t>
      </w:r>
    </w:p>
  </w:footnote>
  <w:footnote w:id="5">
    <w:p w14:paraId="7E87A01A" w14:textId="77777777" w:rsidR="00723519" w:rsidRPr="0084427F" w:rsidRDefault="00723519" w:rsidP="00723519">
      <w:pPr>
        <w:pStyle w:val="FootnoteText"/>
        <w:spacing w:after="0"/>
        <w:rPr>
          <w:sz w:val="16"/>
          <w:szCs w:val="16"/>
          <w:lang w:val="en-US"/>
        </w:rPr>
      </w:pPr>
      <w:r w:rsidRPr="0084427F">
        <w:rPr>
          <w:rStyle w:val="FootnoteReference"/>
          <w:sz w:val="16"/>
          <w:szCs w:val="16"/>
        </w:rPr>
        <w:footnoteRef/>
      </w:r>
      <w:r w:rsidRPr="0084427F">
        <w:rPr>
          <w:sz w:val="16"/>
          <w:szCs w:val="16"/>
        </w:rPr>
        <w:t xml:space="preserve"> </w:t>
      </w:r>
      <w:r w:rsidRPr="0084427F">
        <w:rPr>
          <w:sz w:val="16"/>
          <w:szCs w:val="16"/>
          <w:lang w:val="en-US"/>
        </w:rPr>
        <w:t>A client may choose one or more option to reflect their individual circumstances in participating in voluntary income management.</w:t>
      </w:r>
    </w:p>
  </w:footnote>
  <w:footnote w:id="6">
    <w:p w14:paraId="489B7DEE" w14:textId="77777777" w:rsidR="00C56DF5" w:rsidRPr="00F23E9E" w:rsidRDefault="00C56DF5" w:rsidP="00C56DF5">
      <w:pPr>
        <w:pStyle w:val="FootnoteText"/>
        <w:rPr>
          <w:sz w:val="16"/>
          <w:szCs w:val="16"/>
          <w:lang w:val="en-US"/>
        </w:rPr>
      </w:pPr>
      <w:r w:rsidRPr="00ED72C3">
        <w:rPr>
          <w:rStyle w:val="FootnoteReference"/>
          <w:sz w:val="16"/>
          <w:szCs w:val="16"/>
        </w:rPr>
        <w:footnoteRef/>
      </w:r>
      <w:r w:rsidRPr="00ED72C3">
        <w:rPr>
          <w:sz w:val="16"/>
          <w:szCs w:val="16"/>
        </w:rPr>
        <w:t xml:space="preserve"> </w:t>
      </w:r>
      <w:r w:rsidRPr="00ED72C3">
        <w:rPr>
          <w:sz w:val="16"/>
          <w:szCs w:val="16"/>
          <w:lang w:val="en-US"/>
        </w:rPr>
        <w:t xml:space="preserve">There </w:t>
      </w:r>
      <w:r>
        <w:rPr>
          <w:sz w:val="16"/>
          <w:szCs w:val="16"/>
          <w:lang w:val="en-US"/>
        </w:rPr>
        <w:t>were</w:t>
      </w:r>
      <w:r w:rsidRPr="00ED72C3">
        <w:rPr>
          <w:sz w:val="16"/>
          <w:szCs w:val="16"/>
          <w:lang w:val="en-US"/>
        </w:rPr>
        <w:t xml:space="preserve"> no decision by agreements for income management pursuant to section 68(2)(b) FRC Act 2008 made during 202</w:t>
      </w:r>
      <w:r>
        <w:rPr>
          <w:sz w:val="16"/>
          <w:szCs w:val="16"/>
          <w:lang w:val="en-US"/>
        </w:rPr>
        <w:t>4</w:t>
      </w:r>
      <w:r w:rsidRPr="00ED72C3">
        <w:rPr>
          <w:sz w:val="16"/>
          <w:szCs w:val="16"/>
          <w:lang w:val="en-US"/>
        </w:rPr>
        <w:t>-2</w:t>
      </w:r>
      <w:r>
        <w:rPr>
          <w:sz w:val="16"/>
          <w:szCs w:val="16"/>
          <w:lang w:val="en-US"/>
        </w:rPr>
        <w:t>5</w:t>
      </w:r>
      <w:r w:rsidRPr="00ED72C3">
        <w:rPr>
          <w:sz w:val="16"/>
          <w:szCs w:val="16"/>
          <w:lang w:val="en-US"/>
        </w:rPr>
        <w:t>.</w:t>
      </w:r>
    </w:p>
  </w:footnote>
  <w:footnote w:id="7">
    <w:p w14:paraId="4F59A6E6" w14:textId="28ACB285" w:rsidR="00DB3C3E" w:rsidRPr="007E43F3" w:rsidRDefault="00DB3C3E" w:rsidP="00DB3C3E">
      <w:pPr>
        <w:pStyle w:val="FootnoteText"/>
        <w:rPr>
          <w:lang w:val="en-US"/>
        </w:rPr>
      </w:pPr>
      <w:r>
        <w:rPr>
          <w:rStyle w:val="FootnoteReference"/>
        </w:rPr>
        <w:footnoteRef/>
      </w:r>
      <w:r>
        <w:t xml:space="preserve"> </w:t>
      </w:r>
      <w:bookmarkStart w:id="7" w:name="_Hlk209450388"/>
      <w:r w:rsidRPr="007E43F3">
        <w:rPr>
          <w:sz w:val="16"/>
          <w:szCs w:val="16"/>
          <w:lang w:val="en-US"/>
        </w:rPr>
        <w:t>In 2024-25 there w</w:t>
      </w:r>
      <w:r>
        <w:rPr>
          <w:sz w:val="16"/>
          <w:szCs w:val="16"/>
          <w:lang w:val="en-US"/>
        </w:rPr>
        <w:t xml:space="preserve">as a total of 2,339 </w:t>
      </w:r>
      <w:r w:rsidR="00056B75">
        <w:rPr>
          <w:sz w:val="16"/>
          <w:szCs w:val="16"/>
          <w:lang w:val="en-US"/>
        </w:rPr>
        <w:t>CE</w:t>
      </w:r>
      <w:r>
        <w:rPr>
          <w:sz w:val="16"/>
          <w:szCs w:val="16"/>
          <w:lang w:val="en-US"/>
        </w:rPr>
        <w:t xml:space="preserve"> activities relating to 840 clients</w:t>
      </w:r>
      <w:r w:rsidR="001B114C">
        <w:rPr>
          <w:sz w:val="16"/>
          <w:szCs w:val="16"/>
          <w:lang w:val="en-US"/>
        </w:rPr>
        <w:t xml:space="preserve">. These activities include both contact and non-contact activities. Of these, </w:t>
      </w:r>
      <w:r>
        <w:rPr>
          <w:sz w:val="16"/>
          <w:szCs w:val="16"/>
          <w:lang w:val="en-US"/>
        </w:rPr>
        <w:t xml:space="preserve">50 instances </w:t>
      </w:r>
      <w:r w:rsidR="001B114C">
        <w:rPr>
          <w:sz w:val="16"/>
          <w:szCs w:val="16"/>
          <w:lang w:val="en-US"/>
        </w:rPr>
        <w:t>were related</w:t>
      </w:r>
      <w:r>
        <w:rPr>
          <w:sz w:val="16"/>
          <w:szCs w:val="16"/>
          <w:lang w:val="en-US"/>
        </w:rPr>
        <w:t xml:space="preserve"> to administrative support</w:t>
      </w:r>
      <w:r w:rsidR="001B114C">
        <w:rPr>
          <w:sz w:val="16"/>
          <w:szCs w:val="16"/>
          <w:lang w:val="en-US"/>
        </w:rPr>
        <w:t xml:space="preserve">, such as </w:t>
      </w:r>
      <w:r>
        <w:rPr>
          <w:sz w:val="16"/>
          <w:szCs w:val="16"/>
          <w:lang w:val="en-US"/>
        </w:rPr>
        <w:t xml:space="preserve">preparation for upcoming </w:t>
      </w:r>
      <w:r w:rsidR="00056B75">
        <w:rPr>
          <w:sz w:val="16"/>
          <w:szCs w:val="16"/>
          <w:lang w:val="en-US"/>
        </w:rPr>
        <w:t>CEs</w:t>
      </w:r>
      <w:r>
        <w:rPr>
          <w:sz w:val="16"/>
          <w:szCs w:val="16"/>
          <w:lang w:val="en-US"/>
        </w:rPr>
        <w:t xml:space="preserve"> and 493 instances</w:t>
      </w:r>
      <w:r w:rsidR="001B114C">
        <w:rPr>
          <w:sz w:val="16"/>
          <w:szCs w:val="16"/>
          <w:lang w:val="en-US"/>
        </w:rPr>
        <w:t xml:space="preserve"> involved unsuccessful attempts</w:t>
      </w:r>
      <w:r>
        <w:rPr>
          <w:sz w:val="16"/>
          <w:szCs w:val="16"/>
          <w:lang w:val="en-US"/>
        </w:rPr>
        <w:t xml:space="preserve"> to engage with a client </w:t>
      </w:r>
      <w:r w:rsidR="001B114C">
        <w:rPr>
          <w:sz w:val="16"/>
          <w:szCs w:val="16"/>
          <w:lang w:val="en-US"/>
        </w:rPr>
        <w:t>for</w:t>
      </w:r>
      <w:r>
        <w:rPr>
          <w:sz w:val="16"/>
          <w:szCs w:val="16"/>
          <w:lang w:val="en-US"/>
        </w:rPr>
        <w:t xml:space="preserve"> the following reasons: medical, no longer living in community, not suitable time, out of the community, in prison, sorry business, substance affected/aggressive and unable to locate.</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65CE" w14:textId="77777777" w:rsidR="0070650D" w:rsidRPr="00C6408F" w:rsidRDefault="0070650D" w:rsidP="0070650D">
    <w:pPr>
      <w:pStyle w:val="Header"/>
    </w:pPr>
  </w:p>
  <w:p w14:paraId="63C95DC2" w14:textId="77777777" w:rsidR="0070650D" w:rsidRPr="00C6408F" w:rsidRDefault="0070650D" w:rsidP="0070650D">
    <w:pPr>
      <w:pStyle w:val="Header"/>
    </w:pPr>
  </w:p>
  <w:p w14:paraId="3F1ED815" w14:textId="77777777" w:rsidR="0070650D" w:rsidRPr="00C6408F" w:rsidRDefault="0070650D" w:rsidP="0070650D">
    <w:pPr>
      <w:pStyle w:val="Header"/>
    </w:pPr>
  </w:p>
  <w:p w14:paraId="1D547A18" w14:textId="77777777" w:rsidR="0070650D" w:rsidRPr="00C6408F" w:rsidRDefault="0070650D" w:rsidP="0070650D">
    <w:pPr>
      <w:pStyle w:val="Header"/>
    </w:pPr>
  </w:p>
  <w:p w14:paraId="4CDCA3BD" w14:textId="77777777" w:rsidR="0070650D" w:rsidRPr="00C6408F" w:rsidRDefault="0070650D" w:rsidP="0070650D">
    <w:pPr>
      <w:pStyle w:val="Header"/>
    </w:pPr>
  </w:p>
  <w:p w14:paraId="47826C44" w14:textId="77777777" w:rsidR="0070650D" w:rsidRDefault="0070650D" w:rsidP="0070650D">
    <w:pPr>
      <w:pStyle w:val="Header"/>
    </w:pPr>
    <w:r>
      <w:t>Our strategic objectives</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2F7B"/>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49BA"/>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650D"/>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5816"/>
    <w:rsid w:val="00DB6202"/>
    <w:rsid w:val="00DB76DC"/>
    <w:rsid w:val="00DC0DE7"/>
    <w:rsid w:val="00DC1EE3"/>
    <w:rsid w:val="00DC21CC"/>
    <w:rsid w:val="00DC26B1"/>
    <w:rsid w:val="00DC41CF"/>
    <w:rsid w:val="00DC52B9"/>
    <w:rsid w:val="00DC6324"/>
    <w:rsid w:val="00DC6583"/>
    <w:rsid w:val="00DC6689"/>
    <w:rsid w:val="00DC671E"/>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07F6B"/>
    <w:rsid w:val="00E102B9"/>
    <w:rsid w:val="00E11479"/>
    <w:rsid w:val="00E11DF2"/>
    <w:rsid w:val="00E12318"/>
    <w:rsid w:val="00E126F5"/>
    <w:rsid w:val="00E13475"/>
    <w:rsid w:val="00E137B5"/>
    <w:rsid w:val="00E151CC"/>
    <w:rsid w:val="00E15CCF"/>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4D3"/>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3974</Words>
  <Characters>20864</Characters>
  <Application>Microsoft Office Word</Application>
  <DocSecurity>0</DocSecurity>
  <Lines>563</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2</cp:revision>
  <cp:lastPrinted>2025-10-29T06:50:00Z</cp:lastPrinted>
  <dcterms:created xsi:type="dcterms:W3CDTF">2025-11-11T00:35:00Z</dcterms:created>
  <dcterms:modified xsi:type="dcterms:W3CDTF">2025-11-11T00:35:00Z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